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380" w:rsidRDefault="00BF0380" w:rsidP="00BF0380">
      <w:pPr>
        <w:rPr>
          <w:rFonts w:ascii="Times New Roman" w:hAnsi="Times New Roman"/>
          <w:b/>
          <w:sz w:val="28"/>
          <w:szCs w:val="28"/>
        </w:rPr>
      </w:pPr>
      <w:r>
        <w:rPr>
          <w:noProof/>
        </w:rPr>
        <w:drawing>
          <wp:inline distT="0" distB="0" distL="0" distR="0" wp14:anchorId="6B3A80BE" wp14:editId="3E69EDE9">
            <wp:extent cx="850517" cy="741751"/>
            <wp:effectExtent l="0" t="0" r="0" b="1270"/>
            <wp:docPr id="5" name="Picture 4" descr="C:\Documents and Settings\walden\Local Settings\Temporary Internet Files\Content.IE5\6TCFAPSX\MMj029516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alden\Local Settings\Temporary Internet Files\Content.IE5\6TCFAPSX\MMj02951650000[1].gif"/>
                    <pic:cNvPicPr>
                      <a:picLocks noChangeAspect="1" noChangeArrowheads="1"/>
                    </pic:cNvPicPr>
                  </pic:nvPicPr>
                  <pic:blipFill>
                    <a:blip r:embed="rId8" cstate="print"/>
                    <a:srcRect/>
                    <a:stretch>
                      <a:fillRect/>
                    </a:stretch>
                  </pic:blipFill>
                  <pic:spPr bwMode="auto">
                    <a:xfrm>
                      <a:off x="0" y="0"/>
                      <a:ext cx="864490" cy="753937"/>
                    </a:xfrm>
                    <a:prstGeom prst="rect">
                      <a:avLst/>
                    </a:prstGeom>
                    <a:noFill/>
                    <a:ln w="9525">
                      <a:noFill/>
                      <a:miter lim="800000"/>
                      <a:headEnd/>
                      <a:tailEnd/>
                    </a:ln>
                  </pic:spPr>
                </pic:pic>
              </a:graphicData>
            </a:graphic>
          </wp:inline>
        </w:drawing>
      </w:r>
      <w:r w:rsidRPr="006A21A9">
        <w:rPr>
          <w:rFonts w:ascii="Times New Roman" w:hAnsi="Times New Roman"/>
          <w:b/>
          <w:noProof/>
          <w:sz w:val="28"/>
          <w:szCs w:val="28"/>
        </w:rPr>
        <w:drawing>
          <wp:inline distT="0" distB="0" distL="0" distR="0" wp14:anchorId="00D8EB46" wp14:editId="1CC697ED">
            <wp:extent cx="1363345" cy="511476"/>
            <wp:effectExtent l="0" t="0" r="8255" b="3175"/>
            <wp:docPr id="6" name="Picture 2" descr="C:\Users\walden\Desktop\ncsu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den\Desktop\ncsu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11" cy="525044"/>
                    </a:xfrm>
                    <a:prstGeom prst="rect">
                      <a:avLst/>
                    </a:prstGeom>
                    <a:noFill/>
                    <a:ln>
                      <a:noFill/>
                    </a:ln>
                  </pic:spPr>
                </pic:pic>
              </a:graphicData>
            </a:graphic>
          </wp:inline>
        </w:drawing>
      </w:r>
      <w:r w:rsidR="00952C25">
        <w:rPr>
          <w:rFonts w:ascii="Times New Roman" w:hAnsi="Times New Roman"/>
          <w:b/>
          <w:sz w:val="28"/>
          <w:szCs w:val="28"/>
        </w:rPr>
        <w:t xml:space="preserve">   </w:t>
      </w:r>
    </w:p>
    <w:p w:rsidR="00011347" w:rsidRDefault="00011347" w:rsidP="00BF0380">
      <w:pPr>
        <w:rPr>
          <w:rFonts w:ascii="Times New Roman" w:hAnsi="Times New Roman"/>
          <w:b/>
          <w:sz w:val="28"/>
          <w:szCs w:val="28"/>
        </w:rPr>
      </w:pPr>
    </w:p>
    <w:p w:rsidR="00BF0380" w:rsidRPr="00011347" w:rsidRDefault="00BF0380" w:rsidP="00BF0380">
      <w:pPr>
        <w:rPr>
          <w:rFonts w:ascii="Times New Roman" w:hAnsi="Times New Roman"/>
          <w:b/>
          <w:sz w:val="24"/>
          <w:szCs w:val="24"/>
        </w:rPr>
      </w:pPr>
      <w:r w:rsidRPr="00011347">
        <w:rPr>
          <w:rFonts w:ascii="Times New Roman" w:hAnsi="Times New Roman"/>
          <w:b/>
          <w:sz w:val="24"/>
          <w:szCs w:val="24"/>
        </w:rPr>
        <w:t>THE NORTH CAROLINA ECONOMIC OUTLOOK</w:t>
      </w:r>
      <w:r w:rsidR="00347AC9">
        <w:rPr>
          <w:rFonts w:ascii="Times New Roman" w:hAnsi="Times New Roman"/>
          <w:b/>
          <w:sz w:val="24"/>
          <w:szCs w:val="24"/>
        </w:rPr>
        <w:t>, 3</w:t>
      </w:r>
      <w:r w:rsidR="00A02DE8">
        <w:rPr>
          <w:rFonts w:ascii="Times New Roman" w:hAnsi="Times New Roman"/>
          <w:b/>
          <w:sz w:val="24"/>
          <w:szCs w:val="24"/>
          <w:vertAlign w:val="superscript"/>
        </w:rPr>
        <w:t>st</w:t>
      </w:r>
      <w:r w:rsidR="00A02DE8">
        <w:rPr>
          <w:rFonts w:ascii="Times New Roman" w:hAnsi="Times New Roman"/>
          <w:b/>
          <w:sz w:val="24"/>
          <w:szCs w:val="24"/>
        </w:rPr>
        <w:t xml:space="preserve"> QUARTER 2018</w:t>
      </w:r>
    </w:p>
    <w:p w:rsidR="00BF0380" w:rsidRPr="00011347" w:rsidRDefault="00BF0380" w:rsidP="00011347">
      <w:pPr>
        <w:spacing w:line="240" w:lineRule="auto"/>
        <w:rPr>
          <w:rFonts w:ascii="Times New Roman" w:hAnsi="Times New Roman"/>
          <w:sz w:val="20"/>
          <w:szCs w:val="20"/>
        </w:rPr>
      </w:pPr>
      <w:r w:rsidRPr="00011347">
        <w:rPr>
          <w:rFonts w:ascii="Times New Roman" w:hAnsi="Times New Roman"/>
          <w:sz w:val="20"/>
          <w:szCs w:val="20"/>
        </w:rPr>
        <w:t xml:space="preserve">Prepared by Dr. Michael L. Walden, William Neal Reynolds Distinguished Professor, </w:t>
      </w:r>
    </w:p>
    <w:p w:rsidR="00BF0380" w:rsidRPr="00011347" w:rsidRDefault="00BF0380" w:rsidP="00011347">
      <w:pPr>
        <w:spacing w:line="240" w:lineRule="auto"/>
        <w:rPr>
          <w:rFonts w:ascii="Times New Roman" w:hAnsi="Times New Roman"/>
          <w:b/>
          <w:sz w:val="20"/>
          <w:szCs w:val="20"/>
        </w:rPr>
      </w:pPr>
      <w:r w:rsidRPr="00011347">
        <w:rPr>
          <w:rFonts w:ascii="Times New Roman" w:hAnsi="Times New Roman"/>
          <w:sz w:val="20"/>
          <w:szCs w:val="20"/>
        </w:rPr>
        <w:t>Department of Agricultural and Resource Economics, North Carolina State University</w:t>
      </w:r>
    </w:p>
    <w:p w:rsidR="00D64CEF" w:rsidRDefault="00BF0380" w:rsidP="00BF0380">
      <w:pPr>
        <w:spacing w:line="240" w:lineRule="auto"/>
        <w:rPr>
          <w:rStyle w:val="Hyperlink"/>
          <w:rFonts w:ascii="Times New Roman" w:hAnsi="Times New Roman"/>
          <w:sz w:val="20"/>
          <w:szCs w:val="20"/>
        </w:rPr>
      </w:pPr>
      <w:r w:rsidRPr="00011347">
        <w:rPr>
          <w:rFonts w:ascii="Times New Roman" w:hAnsi="Times New Roman"/>
          <w:sz w:val="20"/>
          <w:szCs w:val="20"/>
        </w:rPr>
        <w:tab/>
        <w:t xml:space="preserve">Contact Methods: phone: 919-219-8923; e-mail: </w:t>
      </w:r>
      <w:hyperlink r:id="rId10" w:history="1">
        <w:r w:rsidRPr="00011347">
          <w:rPr>
            <w:rStyle w:val="Hyperlink"/>
            <w:rFonts w:ascii="Times New Roman" w:hAnsi="Times New Roman"/>
            <w:sz w:val="20"/>
            <w:szCs w:val="20"/>
          </w:rPr>
          <w:t>michael_walden@ncsu.edu</w:t>
        </w:r>
      </w:hyperlink>
    </w:p>
    <w:p w:rsidR="000433FC" w:rsidRPr="00D64CEF" w:rsidRDefault="000433FC" w:rsidP="00BF0380">
      <w:pPr>
        <w:spacing w:line="240" w:lineRule="auto"/>
        <w:rPr>
          <w:rStyle w:val="Hyperlink"/>
          <w:rFonts w:ascii="Times New Roman" w:hAnsi="Times New Roman"/>
          <w:sz w:val="20"/>
          <w:szCs w:val="20"/>
        </w:rPr>
      </w:pPr>
    </w:p>
    <w:p w:rsidR="00BF0380" w:rsidRPr="000433FC" w:rsidRDefault="00011347" w:rsidP="00BF0380">
      <w:pPr>
        <w:spacing w:line="240" w:lineRule="auto"/>
        <w:rPr>
          <w:rStyle w:val="Hyperlink"/>
          <w:rFonts w:ascii="Times New Roman" w:hAnsi="Times New Roman"/>
          <w:b/>
          <w:color w:val="000000" w:themeColor="text1"/>
        </w:rPr>
      </w:pPr>
      <w:r w:rsidRPr="000433FC">
        <w:rPr>
          <w:rStyle w:val="Hyperlink"/>
          <w:rFonts w:ascii="Times New Roman" w:hAnsi="Times New Roman"/>
          <w:b/>
          <w:color w:val="000000" w:themeColor="text1"/>
        </w:rPr>
        <w:t>TEN</w:t>
      </w:r>
      <w:r w:rsidR="00BF0380" w:rsidRPr="000433FC">
        <w:rPr>
          <w:rStyle w:val="Hyperlink"/>
          <w:rFonts w:ascii="Times New Roman" w:hAnsi="Times New Roman"/>
          <w:b/>
          <w:color w:val="000000" w:themeColor="text1"/>
        </w:rPr>
        <w:t xml:space="preserve"> NORTH CAROLINA ECONOM</w:t>
      </w:r>
      <w:r w:rsidR="00E1490A">
        <w:rPr>
          <w:rStyle w:val="Hyperlink"/>
          <w:rFonts w:ascii="Times New Roman" w:hAnsi="Times New Roman"/>
          <w:b/>
          <w:color w:val="000000" w:themeColor="text1"/>
        </w:rPr>
        <w:t>I</w:t>
      </w:r>
      <w:r w:rsidR="00FD2C9C">
        <w:rPr>
          <w:rStyle w:val="Hyperlink"/>
          <w:rFonts w:ascii="Times New Roman" w:hAnsi="Times New Roman"/>
          <w:b/>
          <w:color w:val="000000" w:themeColor="text1"/>
        </w:rPr>
        <w:t>C HEADLINES FOR 2018 AND 2019</w:t>
      </w:r>
    </w:p>
    <w:p w:rsidR="00AF23F5" w:rsidRDefault="00FD2C9C"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 xml:space="preserve">The broadest measure of economic output – </w:t>
      </w:r>
      <w:r w:rsidR="00396969">
        <w:rPr>
          <w:rStyle w:val="Hyperlink"/>
          <w:rFonts w:ascii="Times New Roman" w:hAnsi="Times New Roman"/>
          <w:b/>
          <w:color w:val="000000" w:themeColor="text1"/>
          <w:u w:val="none"/>
        </w:rPr>
        <w:t xml:space="preserve">real </w:t>
      </w:r>
      <w:r>
        <w:rPr>
          <w:rStyle w:val="Hyperlink"/>
          <w:rFonts w:ascii="Times New Roman" w:hAnsi="Times New Roman"/>
          <w:b/>
          <w:color w:val="000000" w:themeColor="text1"/>
          <w:u w:val="none"/>
        </w:rPr>
        <w:t>Gross State Product – increased faster in North Carolina than in the nation in 2017 and is on track to do the same in 2018.</w:t>
      </w:r>
    </w:p>
    <w:p w:rsidR="00FD2C9C" w:rsidRDefault="00FD2C9C" w:rsidP="00FD2C9C">
      <w:pPr>
        <w:pStyle w:val="ListParagraph"/>
        <w:spacing w:line="240" w:lineRule="auto"/>
        <w:rPr>
          <w:rStyle w:val="Hyperlink"/>
          <w:rFonts w:ascii="Times New Roman" w:hAnsi="Times New Roman"/>
          <w:b/>
          <w:color w:val="000000" w:themeColor="text1"/>
          <w:u w:val="none"/>
        </w:rPr>
      </w:pPr>
    </w:p>
    <w:p w:rsidR="00FD2C9C" w:rsidRDefault="00FD2C9C"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From the first quarter of 2017 to the first quarter of 2018, the top five expanding economic sectors in North Carolina were durable manufacturing, education services, nondurable manufacturing, information, and clerical services.</w:t>
      </w:r>
    </w:p>
    <w:p w:rsidR="00FD2C9C" w:rsidRPr="00FD2C9C" w:rsidRDefault="00FD2C9C" w:rsidP="00FD2C9C">
      <w:pPr>
        <w:pStyle w:val="ListParagraph"/>
        <w:rPr>
          <w:rStyle w:val="Hyperlink"/>
          <w:rFonts w:ascii="Times New Roman" w:hAnsi="Times New Roman"/>
          <w:b/>
          <w:color w:val="000000" w:themeColor="text1"/>
          <w:u w:val="none"/>
        </w:rPr>
      </w:pPr>
    </w:p>
    <w:p w:rsidR="00FD2C9C" w:rsidRDefault="00FD2C9C"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 xml:space="preserve">The growth rate in residential building permits in North Carolina in 2018 is on track to be lower than the </w:t>
      </w:r>
      <w:r w:rsidR="001E3F84">
        <w:rPr>
          <w:rStyle w:val="Hyperlink"/>
          <w:rFonts w:ascii="Times New Roman" w:hAnsi="Times New Roman"/>
          <w:b/>
          <w:color w:val="000000" w:themeColor="text1"/>
          <w:u w:val="none"/>
        </w:rPr>
        <w:t>growth r</w:t>
      </w:r>
      <w:r>
        <w:rPr>
          <w:rStyle w:val="Hyperlink"/>
          <w:rFonts w:ascii="Times New Roman" w:hAnsi="Times New Roman"/>
          <w:b/>
          <w:color w:val="000000" w:themeColor="text1"/>
          <w:u w:val="none"/>
        </w:rPr>
        <w:t>ate in 2017.</w:t>
      </w:r>
    </w:p>
    <w:p w:rsidR="00FD2C9C" w:rsidRPr="00FD2C9C" w:rsidRDefault="00FD2C9C" w:rsidP="00FD2C9C">
      <w:pPr>
        <w:pStyle w:val="ListParagraph"/>
        <w:rPr>
          <w:rStyle w:val="Hyperlink"/>
          <w:rFonts w:ascii="Times New Roman" w:hAnsi="Times New Roman"/>
          <w:b/>
          <w:color w:val="000000" w:themeColor="text1"/>
          <w:u w:val="none"/>
        </w:rPr>
      </w:pPr>
    </w:p>
    <w:p w:rsidR="00FD2C9C" w:rsidRDefault="00FD2C9C"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Payroll employment growth in North Carolina is expected to exceed national payroll employment growth in 2018.</w:t>
      </w:r>
    </w:p>
    <w:p w:rsidR="00FD2C9C" w:rsidRPr="00FD2C9C" w:rsidRDefault="00FD2C9C" w:rsidP="00FD2C9C">
      <w:pPr>
        <w:pStyle w:val="ListParagraph"/>
        <w:rPr>
          <w:rStyle w:val="Hyperlink"/>
          <w:rFonts w:ascii="Times New Roman" w:hAnsi="Times New Roman"/>
          <w:b/>
          <w:color w:val="000000" w:themeColor="text1"/>
          <w:u w:val="none"/>
        </w:rPr>
      </w:pPr>
    </w:p>
    <w:p w:rsidR="00FD2C9C" w:rsidRDefault="00FD2C9C"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 xml:space="preserve">The broadest measure of unemployment – the “U6” rate which includes discouraged workers and part-time workers wanting full-time work – was lower </w:t>
      </w:r>
      <w:r w:rsidR="00835C10">
        <w:rPr>
          <w:rStyle w:val="Hyperlink"/>
          <w:rFonts w:ascii="Times New Roman" w:hAnsi="Times New Roman"/>
          <w:b/>
          <w:color w:val="000000" w:themeColor="text1"/>
          <w:u w:val="none"/>
        </w:rPr>
        <w:t xml:space="preserve">in North Carolina </w:t>
      </w:r>
      <w:r>
        <w:rPr>
          <w:rStyle w:val="Hyperlink"/>
          <w:rFonts w:ascii="Times New Roman" w:hAnsi="Times New Roman"/>
          <w:b/>
          <w:color w:val="000000" w:themeColor="text1"/>
          <w:u w:val="none"/>
        </w:rPr>
        <w:t>than the national rate in 2017 and continues to be lower than the national rate in 2018.</w:t>
      </w:r>
    </w:p>
    <w:p w:rsidR="00FD2C9C" w:rsidRPr="00FD2C9C" w:rsidRDefault="00FD2C9C" w:rsidP="00FD2C9C">
      <w:pPr>
        <w:pStyle w:val="ListParagraph"/>
        <w:rPr>
          <w:rStyle w:val="Hyperlink"/>
          <w:rFonts w:ascii="Times New Roman" w:hAnsi="Times New Roman"/>
          <w:b/>
          <w:color w:val="000000" w:themeColor="text1"/>
          <w:u w:val="none"/>
        </w:rPr>
      </w:pPr>
    </w:p>
    <w:p w:rsidR="00FD2C9C" w:rsidRDefault="00D150B3"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Average wage rates adjusted for inflation have been stagnant in both North Carolina and the nation in 2017 and 2018.  However, since 2014 North Carolina’s average wage rate has moved closer to the national average rate.</w:t>
      </w:r>
    </w:p>
    <w:p w:rsidR="00D150B3" w:rsidRPr="00D150B3" w:rsidRDefault="00D150B3" w:rsidP="00D150B3">
      <w:pPr>
        <w:pStyle w:val="ListParagraph"/>
        <w:rPr>
          <w:rStyle w:val="Hyperlink"/>
          <w:rFonts w:ascii="Times New Roman" w:hAnsi="Times New Roman"/>
          <w:b/>
          <w:color w:val="000000" w:themeColor="text1"/>
          <w:u w:val="none"/>
        </w:rPr>
      </w:pPr>
    </w:p>
    <w:p w:rsidR="00D150B3" w:rsidRDefault="00D150B3"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 xml:space="preserve">The </w:t>
      </w:r>
      <w:r w:rsidR="00396969">
        <w:rPr>
          <w:rStyle w:val="Hyperlink"/>
          <w:rFonts w:ascii="Times New Roman" w:hAnsi="Times New Roman"/>
          <w:b/>
          <w:color w:val="000000" w:themeColor="text1"/>
          <w:u w:val="none"/>
        </w:rPr>
        <w:t xml:space="preserve">economic </w:t>
      </w:r>
      <w:r>
        <w:rPr>
          <w:rStyle w:val="Hyperlink"/>
          <w:rFonts w:ascii="Times New Roman" w:hAnsi="Times New Roman"/>
          <w:b/>
          <w:color w:val="000000" w:themeColor="text1"/>
          <w:u w:val="none"/>
        </w:rPr>
        <w:t xml:space="preserve">occupational divide narrowed in North Carolina in 2017 </w:t>
      </w:r>
      <w:r w:rsidR="001E3F84">
        <w:rPr>
          <w:rStyle w:val="Hyperlink"/>
          <w:rFonts w:ascii="Times New Roman" w:hAnsi="Times New Roman"/>
          <w:b/>
          <w:color w:val="000000" w:themeColor="text1"/>
          <w:u w:val="none"/>
        </w:rPr>
        <w:t xml:space="preserve">and thus far in 2018 as a result of </w:t>
      </w:r>
      <w:r w:rsidR="00396969">
        <w:rPr>
          <w:rStyle w:val="Hyperlink"/>
          <w:rFonts w:ascii="Times New Roman" w:hAnsi="Times New Roman"/>
          <w:b/>
          <w:color w:val="000000" w:themeColor="text1"/>
          <w:u w:val="none"/>
        </w:rPr>
        <w:t>much stronger growth in middle-paying jobs in both years.</w:t>
      </w:r>
    </w:p>
    <w:p w:rsidR="00396969" w:rsidRPr="00396969" w:rsidRDefault="00396969" w:rsidP="00396969">
      <w:pPr>
        <w:pStyle w:val="ListParagraph"/>
        <w:rPr>
          <w:rStyle w:val="Hyperlink"/>
          <w:rFonts w:ascii="Times New Roman" w:hAnsi="Times New Roman"/>
          <w:b/>
          <w:color w:val="000000" w:themeColor="text1"/>
          <w:u w:val="none"/>
        </w:rPr>
      </w:pPr>
    </w:p>
    <w:p w:rsidR="00396969" w:rsidRDefault="00396969"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Similarly, the economic geographic divide improved in 2017 and in the first half of 2018 as more robust job growth occurred in small metros and rural areas.</w:t>
      </w:r>
    </w:p>
    <w:p w:rsidR="00396969" w:rsidRPr="00396969" w:rsidRDefault="00396969" w:rsidP="00396969">
      <w:pPr>
        <w:pStyle w:val="ListParagraph"/>
        <w:rPr>
          <w:rStyle w:val="Hyperlink"/>
          <w:rFonts w:ascii="Times New Roman" w:hAnsi="Times New Roman"/>
          <w:b/>
          <w:color w:val="000000" w:themeColor="text1"/>
          <w:u w:val="none"/>
        </w:rPr>
      </w:pPr>
    </w:p>
    <w:p w:rsidR="00396969" w:rsidRDefault="00396969" w:rsidP="00011347">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North Carolina real Gross State Product is forecasted to increase 3.2% in 2018 and 3.4% in 2019.</w:t>
      </w:r>
    </w:p>
    <w:p w:rsidR="00396969" w:rsidRPr="00396969" w:rsidRDefault="00396969" w:rsidP="00396969">
      <w:pPr>
        <w:pStyle w:val="ListParagraph"/>
        <w:rPr>
          <w:rStyle w:val="Hyperlink"/>
          <w:rFonts w:ascii="Times New Roman" w:hAnsi="Times New Roman"/>
          <w:b/>
          <w:color w:val="000000" w:themeColor="text1"/>
          <w:u w:val="none"/>
        </w:rPr>
      </w:pPr>
    </w:p>
    <w:p w:rsidR="00396969" w:rsidRPr="00396969" w:rsidRDefault="00396969" w:rsidP="00396969">
      <w:pPr>
        <w:pStyle w:val="ListParagraph"/>
        <w:numPr>
          <w:ilvl w:val="0"/>
          <w:numId w:val="2"/>
        </w:numPr>
        <w:spacing w:line="240" w:lineRule="auto"/>
        <w:rPr>
          <w:rStyle w:val="Hyperlink"/>
          <w:rFonts w:ascii="Times New Roman" w:hAnsi="Times New Roman"/>
          <w:b/>
          <w:color w:val="000000" w:themeColor="text1"/>
          <w:u w:val="none"/>
        </w:rPr>
      </w:pPr>
      <w:r>
        <w:rPr>
          <w:rStyle w:val="Hyperlink"/>
          <w:rFonts w:ascii="Times New Roman" w:hAnsi="Times New Roman"/>
          <w:b/>
          <w:color w:val="000000" w:themeColor="text1"/>
          <w:u w:val="none"/>
        </w:rPr>
        <w:t>The end-of-the-year “headline” unemployment rate in the state is projected to be 4.1% in 2018 and 3.8% in 2019, with 7</w:t>
      </w:r>
      <w:r w:rsidR="001E3F84">
        <w:rPr>
          <w:rStyle w:val="Hyperlink"/>
          <w:rFonts w:ascii="Times New Roman" w:hAnsi="Times New Roman"/>
          <w:b/>
          <w:color w:val="000000" w:themeColor="text1"/>
          <w:u w:val="none"/>
        </w:rPr>
        <w:t>5,000 payroll jobs added in each of the</w:t>
      </w:r>
      <w:r>
        <w:rPr>
          <w:rStyle w:val="Hyperlink"/>
          <w:rFonts w:ascii="Times New Roman" w:hAnsi="Times New Roman"/>
          <w:b/>
          <w:color w:val="000000" w:themeColor="text1"/>
          <w:u w:val="none"/>
        </w:rPr>
        <w:t xml:space="preserve"> years.</w:t>
      </w:r>
    </w:p>
    <w:p w:rsidR="00011347" w:rsidRPr="00011347" w:rsidRDefault="00011347" w:rsidP="00011347">
      <w:pPr>
        <w:pStyle w:val="ListParagraph"/>
        <w:spacing w:line="240" w:lineRule="auto"/>
        <w:rPr>
          <w:rStyle w:val="Hyperlink"/>
          <w:rFonts w:ascii="Times New Roman" w:hAnsi="Times New Roman"/>
          <w:b/>
          <w:color w:val="000000" w:themeColor="text1"/>
          <w:u w:val="none"/>
        </w:rPr>
      </w:pPr>
    </w:p>
    <w:p w:rsidR="00293467" w:rsidRPr="00E72D55" w:rsidRDefault="00BF0380" w:rsidP="00584469">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Statewide </w:t>
      </w:r>
      <w:r w:rsidR="00CF5C9B">
        <w:rPr>
          <w:rFonts w:ascii="Times New Roman" w:hAnsi="Times New Roman" w:cs="Times New Roman"/>
          <w:b/>
          <w:sz w:val="24"/>
          <w:szCs w:val="24"/>
        </w:rPr>
        <w:t xml:space="preserve">and </w:t>
      </w:r>
      <w:r w:rsidR="00190EAF">
        <w:rPr>
          <w:rFonts w:ascii="Times New Roman" w:hAnsi="Times New Roman" w:cs="Times New Roman"/>
          <w:b/>
          <w:sz w:val="24"/>
          <w:szCs w:val="24"/>
        </w:rPr>
        <w:t xml:space="preserve">Sector </w:t>
      </w:r>
      <w:r>
        <w:rPr>
          <w:rFonts w:ascii="Times New Roman" w:hAnsi="Times New Roman" w:cs="Times New Roman"/>
          <w:b/>
          <w:sz w:val="24"/>
          <w:szCs w:val="24"/>
        </w:rPr>
        <w:t>Trends</w:t>
      </w:r>
    </w:p>
    <w:p w:rsidR="00DB57E0" w:rsidRDefault="008A190D">
      <w:pPr>
        <w:rPr>
          <w:rFonts w:ascii="Times New Roman" w:hAnsi="Times New Roman" w:cs="Times New Roman"/>
          <w:sz w:val="24"/>
          <w:szCs w:val="24"/>
        </w:rPr>
      </w:pPr>
      <w:r>
        <w:rPr>
          <w:rFonts w:ascii="Times New Roman" w:hAnsi="Times New Roman" w:cs="Times New Roman"/>
          <w:sz w:val="24"/>
          <w:szCs w:val="24"/>
        </w:rPr>
        <w:tab/>
        <w:t>Complete data for 2017 now show the broadest measure of economic growth – the growth rate in real (inflation-adjusted</w:t>
      </w:r>
      <w:r w:rsidR="001E3F84">
        <w:rPr>
          <w:rFonts w:ascii="Times New Roman" w:hAnsi="Times New Roman" w:cs="Times New Roman"/>
          <w:sz w:val="24"/>
          <w:szCs w:val="24"/>
        </w:rPr>
        <w:t>)</w:t>
      </w:r>
      <w:r>
        <w:rPr>
          <w:rFonts w:ascii="Times New Roman" w:hAnsi="Times New Roman" w:cs="Times New Roman"/>
          <w:sz w:val="24"/>
          <w:szCs w:val="24"/>
        </w:rPr>
        <w:t xml:space="preserve"> Gross State Product</w:t>
      </w:r>
      <w:r w:rsidR="0008123C">
        <w:rPr>
          <w:rFonts w:ascii="Times New Roman" w:hAnsi="Times New Roman" w:cs="Times New Roman"/>
          <w:sz w:val="24"/>
          <w:szCs w:val="24"/>
        </w:rPr>
        <w:t xml:space="preserve"> (GS</w:t>
      </w:r>
      <w:r>
        <w:rPr>
          <w:rFonts w:ascii="Times New Roman" w:hAnsi="Times New Roman" w:cs="Times New Roman"/>
          <w:sz w:val="24"/>
          <w:szCs w:val="24"/>
        </w:rPr>
        <w:t xml:space="preserve">P) </w:t>
      </w:r>
      <w:r w:rsidR="00843089">
        <w:rPr>
          <w:rFonts w:ascii="Times New Roman" w:hAnsi="Times New Roman" w:cs="Times New Roman"/>
          <w:sz w:val="24"/>
          <w:szCs w:val="24"/>
        </w:rPr>
        <w:t xml:space="preserve">- </w:t>
      </w:r>
      <w:r>
        <w:rPr>
          <w:rFonts w:ascii="Times New Roman" w:hAnsi="Times New Roman" w:cs="Times New Roman"/>
          <w:sz w:val="24"/>
          <w:szCs w:val="24"/>
        </w:rPr>
        <w:t>was higher in North Carolina than in both the nation and the Southeast states</w:t>
      </w:r>
      <w:r w:rsidR="00843089">
        <w:rPr>
          <w:rFonts w:ascii="Times New Roman" w:hAnsi="Times New Roman" w:cs="Times New Roman"/>
          <w:sz w:val="24"/>
          <w:szCs w:val="24"/>
        </w:rPr>
        <w:t>.</w:t>
      </w:r>
      <w:r w:rsidR="0084308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1E3F84">
        <w:rPr>
          <w:rFonts w:ascii="Times New Roman" w:hAnsi="Times New Roman" w:cs="Times New Roman"/>
          <w:sz w:val="24"/>
          <w:szCs w:val="24"/>
        </w:rPr>
        <w:t xml:space="preserve"> This now means in three of the last five</w:t>
      </w:r>
      <w:r w:rsidR="00843089">
        <w:rPr>
          <w:rFonts w:ascii="Times New Roman" w:hAnsi="Times New Roman" w:cs="Times New Roman"/>
          <w:sz w:val="24"/>
          <w:szCs w:val="24"/>
        </w:rPr>
        <w:t xml:space="preserve"> years </w:t>
      </w:r>
      <w:r w:rsidR="001E3F84">
        <w:rPr>
          <w:rFonts w:ascii="Times New Roman" w:hAnsi="Times New Roman" w:cs="Times New Roman"/>
          <w:sz w:val="24"/>
          <w:szCs w:val="24"/>
        </w:rPr>
        <w:t xml:space="preserve">(2013-2017) </w:t>
      </w:r>
      <w:r w:rsidR="00843089">
        <w:rPr>
          <w:rFonts w:ascii="Times New Roman" w:hAnsi="Times New Roman" w:cs="Times New Roman"/>
          <w:sz w:val="24"/>
          <w:szCs w:val="24"/>
        </w:rPr>
        <w:t xml:space="preserve">North Carolina’s broadest economic growth rate exceeded the national and regional rates (Figure 1).  </w:t>
      </w:r>
    </w:p>
    <w:p w:rsidR="00F523E5" w:rsidRDefault="0008123C">
      <w:pPr>
        <w:rPr>
          <w:rFonts w:ascii="Times New Roman" w:hAnsi="Times New Roman" w:cs="Times New Roman"/>
          <w:sz w:val="24"/>
          <w:szCs w:val="24"/>
        </w:rPr>
      </w:pPr>
      <w:r>
        <w:rPr>
          <w:rFonts w:ascii="Times New Roman" w:hAnsi="Times New Roman" w:cs="Times New Roman"/>
          <w:sz w:val="24"/>
          <w:szCs w:val="24"/>
        </w:rPr>
        <w:tab/>
        <w:t xml:space="preserve">If the trends during the first half of 2018 continue for the entire year, it appears North Carolina’s real GSP growth rate will </w:t>
      </w:r>
      <w:r w:rsidR="001E3F84">
        <w:rPr>
          <w:rFonts w:ascii="Times New Roman" w:hAnsi="Times New Roman" w:cs="Times New Roman"/>
          <w:sz w:val="24"/>
          <w:szCs w:val="24"/>
        </w:rPr>
        <w:t xml:space="preserve">again </w:t>
      </w:r>
      <w:r>
        <w:rPr>
          <w:rFonts w:ascii="Times New Roman" w:hAnsi="Times New Roman" w:cs="Times New Roman"/>
          <w:sz w:val="24"/>
          <w:szCs w:val="24"/>
        </w:rPr>
        <w:t>surpass both the national and Southeast growth rates.  The annualized growth rate</w:t>
      </w:r>
      <w:r w:rsidR="00F523E5">
        <w:rPr>
          <w:rFonts w:ascii="Times New Roman" w:hAnsi="Times New Roman" w:cs="Times New Roman"/>
          <w:sz w:val="24"/>
          <w:szCs w:val="24"/>
        </w:rPr>
        <w:t>s</w:t>
      </w:r>
      <w:r w:rsidR="001E3F84">
        <w:rPr>
          <w:rFonts w:ascii="Times New Roman" w:hAnsi="Times New Roman" w:cs="Times New Roman"/>
          <w:sz w:val="24"/>
          <w:szCs w:val="24"/>
        </w:rPr>
        <w:t xml:space="preserve"> for 2018 in Figure 1 are based only on </w:t>
      </w:r>
      <w:r>
        <w:rPr>
          <w:rFonts w:ascii="Times New Roman" w:hAnsi="Times New Roman" w:cs="Times New Roman"/>
          <w:sz w:val="24"/>
          <w:szCs w:val="24"/>
        </w:rPr>
        <w:t>available state data for the first quarter of 2018.</w:t>
      </w:r>
      <w:r>
        <w:rPr>
          <w:rStyle w:val="FootnoteReference"/>
          <w:rFonts w:ascii="Times New Roman" w:hAnsi="Times New Roman" w:cs="Times New Roman"/>
          <w:sz w:val="24"/>
          <w:szCs w:val="24"/>
        </w:rPr>
        <w:footnoteReference w:id="2"/>
      </w:r>
      <w:r w:rsidR="00F523E5">
        <w:rPr>
          <w:rFonts w:ascii="Times New Roman" w:hAnsi="Times New Roman" w:cs="Times New Roman"/>
          <w:sz w:val="24"/>
          <w:szCs w:val="24"/>
        </w:rPr>
        <w:t xml:space="preserve">   Already released national data show national growth rates have significantly increased after the first quarter.  If this also occurs for North Carolina, then the final state GSP growth rate could surpass the 2017 rate.   It is conceivable North Carolina’s real GSP growth rate could reach or exceed 3% in 2018.</w:t>
      </w:r>
    </w:p>
    <w:p w:rsidR="00F523E5" w:rsidRDefault="00F523E5">
      <w:pPr>
        <w:rPr>
          <w:rFonts w:ascii="Times New Roman" w:hAnsi="Times New Roman" w:cs="Times New Roman"/>
          <w:sz w:val="24"/>
          <w:szCs w:val="24"/>
        </w:rPr>
      </w:pPr>
    </w:p>
    <w:p w:rsidR="008917F2" w:rsidRPr="00584469" w:rsidRDefault="00584469"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1.  Real GDP Annual Growth Rat</w:t>
      </w:r>
      <w:r w:rsidR="001E3F84">
        <w:rPr>
          <w:rFonts w:ascii="Times New Roman" w:hAnsi="Times New Roman" w:cs="Times New Roman"/>
          <w:b/>
          <w:sz w:val="24"/>
          <w:szCs w:val="24"/>
        </w:rPr>
        <w:t xml:space="preserve">e (%) in </w:t>
      </w:r>
      <w:r>
        <w:rPr>
          <w:rFonts w:ascii="Times New Roman" w:hAnsi="Times New Roman" w:cs="Times New Roman"/>
          <w:b/>
          <w:sz w:val="24"/>
          <w:szCs w:val="24"/>
        </w:rPr>
        <w:t xml:space="preserve">North Carolina, </w:t>
      </w:r>
      <w:r w:rsidR="001E3F84">
        <w:rPr>
          <w:rFonts w:ascii="Times New Roman" w:hAnsi="Times New Roman" w:cs="Times New Roman"/>
          <w:b/>
          <w:sz w:val="24"/>
          <w:szCs w:val="24"/>
        </w:rPr>
        <w:t xml:space="preserve">the </w:t>
      </w:r>
      <w:r w:rsidR="00CF5C9B">
        <w:rPr>
          <w:rFonts w:ascii="Times New Roman" w:hAnsi="Times New Roman" w:cs="Times New Roman"/>
          <w:b/>
          <w:sz w:val="24"/>
          <w:szCs w:val="24"/>
        </w:rPr>
        <w:t xml:space="preserve">US, and Southeast   </w:t>
      </w:r>
      <w:r w:rsidR="00AC076D">
        <w:rPr>
          <w:rFonts w:ascii="Times New Roman" w:hAnsi="Times New Roman" w:cs="Times New Roman"/>
          <w:b/>
          <w:sz w:val="24"/>
          <w:szCs w:val="24"/>
        </w:rPr>
        <w:t>Economies, 2010-2018</w:t>
      </w:r>
      <w:r w:rsidR="00B90C41">
        <w:rPr>
          <w:rFonts w:ascii="Times New Roman" w:hAnsi="Times New Roman" w:cs="Times New Roman"/>
          <w:b/>
          <w:sz w:val="24"/>
          <w:szCs w:val="24"/>
        </w:rPr>
        <w:t>.</w:t>
      </w:r>
    </w:p>
    <w:p w:rsidR="008917F2" w:rsidRDefault="008917F2" w:rsidP="00584469">
      <w:pPr>
        <w:spacing w:line="240" w:lineRule="auto"/>
        <w:rPr>
          <w:rFonts w:ascii="Times New Roman" w:hAnsi="Times New Roman" w:cs="Times New Roman"/>
          <w:sz w:val="24"/>
          <w:szCs w:val="24"/>
        </w:rPr>
      </w:pPr>
      <w:r w:rsidRPr="008917F2">
        <w:rPr>
          <w:rFonts w:ascii="Times New Roman" w:hAnsi="Times New Roman" w:cs="Times New Roman"/>
          <w:noProof/>
          <w:sz w:val="24"/>
          <w:szCs w:val="24"/>
        </w:rPr>
        <w:drawing>
          <wp:inline distT="0" distB="0" distL="0" distR="0" wp14:anchorId="7E383554" wp14:editId="514983A6">
            <wp:extent cx="5943600" cy="35052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4469">
        <w:rPr>
          <w:rFonts w:ascii="Times New Roman" w:hAnsi="Times New Roman" w:cs="Times New Roman"/>
          <w:sz w:val="24"/>
          <w:szCs w:val="24"/>
        </w:rPr>
        <w:t xml:space="preserve"> </w:t>
      </w:r>
    </w:p>
    <w:p w:rsidR="00F523E5" w:rsidRPr="00F523E5" w:rsidRDefault="00584469" w:rsidP="00584469">
      <w:pPr>
        <w:spacing w:line="240" w:lineRule="auto"/>
        <w:rPr>
          <w:rFonts w:cs="Times New Roman"/>
          <w:sz w:val="20"/>
          <w:szCs w:val="20"/>
        </w:rPr>
      </w:pPr>
      <w:r>
        <w:rPr>
          <w:rFonts w:cs="Times New Roman"/>
          <w:sz w:val="20"/>
          <w:szCs w:val="20"/>
        </w:rPr>
        <w:t>Source: U</w:t>
      </w:r>
      <w:r w:rsidR="00267957">
        <w:rPr>
          <w:rFonts w:cs="Times New Roman"/>
          <w:sz w:val="20"/>
          <w:szCs w:val="20"/>
        </w:rPr>
        <w:t>.S. Bureau of Economic Analysis</w:t>
      </w:r>
      <w:r w:rsidR="00F523E5">
        <w:rPr>
          <w:rFonts w:cs="Times New Roman"/>
          <w:sz w:val="20"/>
          <w:szCs w:val="20"/>
        </w:rPr>
        <w:t>.  Rates</w:t>
      </w:r>
      <w:r w:rsidR="00AC076D">
        <w:rPr>
          <w:rFonts w:cs="Times New Roman"/>
          <w:sz w:val="20"/>
          <w:szCs w:val="20"/>
        </w:rPr>
        <w:t xml:space="preserve"> for 2018 </w:t>
      </w:r>
      <w:r w:rsidR="00F523E5">
        <w:rPr>
          <w:rFonts w:cs="Times New Roman"/>
          <w:sz w:val="20"/>
          <w:szCs w:val="20"/>
        </w:rPr>
        <w:t xml:space="preserve">are </w:t>
      </w:r>
      <w:r w:rsidR="00AC076D">
        <w:rPr>
          <w:rFonts w:cs="Times New Roman"/>
          <w:sz w:val="20"/>
          <w:szCs w:val="20"/>
        </w:rPr>
        <w:t>annualized based on the first quarter</w:t>
      </w:r>
      <w:r w:rsidR="0000213C">
        <w:rPr>
          <w:rFonts w:cs="Times New Roman"/>
          <w:sz w:val="20"/>
          <w:szCs w:val="20"/>
        </w:rPr>
        <w:t>.</w:t>
      </w:r>
    </w:p>
    <w:p w:rsidR="00190EAF" w:rsidRPr="0078215C" w:rsidRDefault="0078215C"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2.  Economic Sector </w:t>
      </w:r>
      <w:r w:rsidR="00F523E5">
        <w:rPr>
          <w:rFonts w:ascii="Times New Roman" w:hAnsi="Times New Roman" w:cs="Times New Roman"/>
          <w:b/>
          <w:sz w:val="24"/>
          <w:szCs w:val="24"/>
        </w:rPr>
        <w:t xml:space="preserve">Output </w:t>
      </w:r>
      <w:r>
        <w:rPr>
          <w:rFonts w:ascii="Times New Roman" w:hAnsi="Times New Roman" w:cs="Times New Roman"/>
          <w:b/>
          <w:sz w:val="24"/>
          <w:szCs w:val="24"/>
        </w:rPr>
        <w:t xml:space="preserve">Growth Rate </w:t>
      </w:r>
      <w:r w:rsidR="00AC076D">
        <w:rPr>
          <w:rFonts w:ascii="Times New Roman" w:hAnsi="Times New Roman" w:cs="Times New Roman"/>
          <w:b/>
          <w:sz w:val="24"/>
          <w:szCs w:val="24"/>
        </w:rPr>
        <w:t>(%) in North Carolina, 1</w:t>
      </w:r>
      <w:r w:rsidR="00AC076D" w:rsidRPr="00AC076D">
        <w:rPr>
          <w:rFonts w:ascii="Times New Roman" w:hAnsi="Times New Roman" w:cs="Times New Roman"/>
          <w:b/>
          <w:sz w:val="24"/>
          <w:szCs w:val="24"/>
          <w:vertAlign w:val="superscript"/>
        </w:rPr>
        <w:t>st</w:t>
      </w:r>
      <w:r w:rsidR="00AC076D">
        <w:rPr>
          <w:rFonts w:ascii="Times New Roman" w:hAnsi="Times New Roman" w:cs="Times New Roman"/>
          <w:b/>
          <w:sz w:val="24"/>
          <w:szCs w:val="24"/>
        </w:rPr>
        <w:t xml:space="preserve"> Quarter 2017</w:t>
      </w:r>
      <w:r w:rsidR="00F523E5">
        <w:rPr>
          <w:rFonts w:ascii="Times New Roman" w:hAnsi="Times New Roman" w:cs="Times New Roman"/>
          <w:b/>
          <w:sz w:val="24"/>
          <w:szCs w:val="24"/>
        </w:rPr>
        <w:t xml:space="preserve"> to </w:t>
      </w:r>
      <w:r w:rsidR="00AC076D">
        <w:rPr>
          <w:rFonts w:ascii="Times New Roman" w:hAnsi="Times New Roman" w:cs="Times New Roman"/>
          <w:b/>
          <w:sz w:val="24"/>
          <w:szCs w:val="24"/>
        </w:rPr>
        <w:t>1</w:t>
      </w:r>
      <w:r w:rsidR="00AC076D" w:rsidRPr="00AC076D">
        <w:rPr>
          <w:rFonts w:ascii="Times New Roman" w:hAnsi="Times New Roman" w:cs="Times New Roman"/>
          <w:b/>
          <w:sz w:val="24"/>
          <w:szCs w:val="24"/>
          <w:vertAlign w:val="superscript"/>
        </w:rPr>
        <w:t>st</w:t>
      </w:r>
      <w:r w:rsidR="00AC076D">
        <w:rPr>
          <w:rFonts w:ascii="Times New Roman" w:hAnsi="Times New Roman" w:cs="Times New Roman"/>
          <w:b/>
          <w:sz w:val="24"/>
          <w:szCs w:val="24"/>
        </w:rPr>
        <w:t xml:space="preserve"> Quarter 2018.</w:t>
      </w:r>
    </w:p>
    <w:p w:rsidR="00190EAF" w:rsidRDefault="0078215C" w:rsidP="00584469">
      <w:pPr>
        <w:spacing w:line="240" w:lineRule="auto"/>
        <w:rPr>
          <w:rFonts w:cs="Times New Roman"/>
          <w:sz w:val="20"/>
          <w:szCs w:val="20"/>
        </w:rPr>
      </w:pPr>
      <w:r w:rsidRPr="0078215C">
        <w:rPr>
          <w:rFonts w:cs="Times New Roman"/>
          <w:noProof/>
          <w:sz w:val="20"/>
          <w:szCs w:val="20"/>
        </w:rPr>
        <w:drawing>
          <wp:inline distT="0" distB="0" distL="0" distR="0" wp14:anchorId="3154881C" wp14:editId="15696F3A">
            <wp:extent cx="5943600" cy="4162926"/>
            <wp:effectExtent l="0" t="0" r="1270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215C" w:rsidRDefault="0078215C" w:rsidP="00584469">
      <w:pPr>
        <w:spacing w:line="240" w:lineRule="auto"/>
        <w:rPr>
          <w:rFonts w:cs="Times New Roman"/>
          <w:sz w:val="20"/>
          <w:szCs w:val="20"/>
        </w:rPr>
      </w:pPr>
      <w:r>
        <w:rPr>
          <w:rFonts w:cs="Times New Roman"/>
          <w:sz w:val="20"/>
          <w:szCs w:val="20"/>
        </w:rPr>
        <w:t>Source:  U.S. Bureau of Economic Analysis.</w:t>
      </w:r>
    </w:p>
    <w:p w:rsidR="006366EA" w:rsidRDefault="006366EA" w:rsidP="00584469">
      <w:pPr>
        <w:spacing w:line="240" w:lineRule="auto"/>
        <w:rPr>
          <w:rFonts w:ascii="Times New Roman" w:hAnsi="Times New Roman" w:cs="Times New Roman"/>
          <w:b/>
          <w:sz w:val="24"/>
          <w:szCs w:val="24"/>
        </w:rPr>
      </w:pPr>
    </w:p>
    <w:p w:rsidR="0035791F" w:rsidRDefault="00F523E5" w:rsidP="0058446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Using First Quarter 2017 to First Quarter 2018 data, Figure 2 shows the annual growth rates in output for major economic sectors in North Carolina.  The two manufacturing sectors – durable and non-durable – took two of the top three slots.  Positive growth was a turnaround f</w:t>
      </w:r>
      <w:r w:rsidR="00CF5C9B">
        <w:rPr>
          <w:rFonts w:ascii="Times New Roman" w:hAnsi="Times New Roman" w:cs="Times New Roman"/>
          <w:sz w:val="24"/>
          <w:szCs w:val="24"/>
        </w:rPr>
        <w:t>or recent trends in</w:t>
      </w:r>
      <w:r>
        <w:rPr>
          <w:rFonts w:ascii="Times New Roman" w:hAnsi="Times New Roman" w:cs="Times New Roman"/>
          <w:sz w:val="24"/>
          <w:szCs w:val="24"/>
        </w:rPr>
        <w:t xml:space="preserve"> non-durable manufacturing, </w:t>
      </w:r>
      <w:r w:rsidR="0035791F">
        <w:rPr>
          <w:rFonts w:ascii="Times New Roman" w:hAnsi="Times New Roman" w:cs="Times New Roman"/>
          <w:sz w:val="24"/>
          <w:szCs w:val="24"/>
        </w:rPr>
        <w:t>which is dominated by tobacco products, textiles, and apparel.  For the first seven years (2009-2016) of the economic recovery from the Great Recession, output in t</w:t>
      </w:r>
      <w:r w:rsidR="00CF5C9B">
        <w:rPr>
          <w:rFonts w:ascii="Times New Roman" w:hAnsi="Times New Roman" w:cs="Times New Roman"/>
          <w:sz w:val="24"/>
          <w:szCs w:val="24"/>
        </w:rPr>
        <w:t>his sector declined by double-</w:t>
      </w:r>
      <w:r w:rsidR="0035791F">
        <w:rPr>
          <w:rFonts w:ascii="Times New Roman" w:hAnsi="Times New Roman" w:cs="Times New Roman"/>
          <w:sz w:val="24"/>
          <w:szCs w:val="24"/>
        </w:rPr>
        <w:t>digit rates.  But this negative growth turned to positive growth in the year spanning early 2017 to early 2018.</w:t>
      </w:r>
    </w:p>
    <w:p w:rsidR="006366EA" w:rsidRPr="00F523E5" w:rsidRDefault="00F523E5" w:rsidP="0035791F">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among the top five expanding sectors were educational services, the information sector, and clerical services.  </w:t>
      </w:r>
      <w:r w:rsidR="0035791F">
        <w:rPr>
          <w:rFonts w:ascii="Times New Roman" w:hAnsi="Times New Roman" w:cs="Times New Roman"/>
          <w:sz w:val="24"/>
          <w:szCs w:val="24"/>
        </w:rPr>
        <w:t xml:space="preserve"> Three sectors did decline in output: hotels/food service, financial services, and farming.  The decline in farming was significant and reflects weakness in the prices of many farm commodities.</w:t>
      </w:r>
    </w:p>
    <w:p w:rsidR="008A4F07" w:rsidRDefault="00762D6B" w:rsidP="00584469">
      <w:pPr>
        <w:spacing w:line="240" w:lineRule="auto"/>
        <w:rPr>
          <w:rFonts w:ascii="Times New Roman" w:hAnsi="Times New Roman" w:cs="Times New Roman"/>
          <w:b/>
          <w:sz w:val="24"/>
          <w:szCs w:val="24"/>
        </w:rPr>
      </w:pPr>
      <w:r>
        <w:rPr>
          <w:rFonts w:ascii="Times New Roman" w:hAnsi="Times New Roman" w:cs="Times New Roman"/>
          <w:b/>
          <w:sz w:val="24"/>
          <w:szCs w:val="24"/>
        </w:rPr>
        <w:tab/>
      </w:r>
    </w:p>
    <w:p w:rsidR="00762D6B" w:rsidRDefault="00762D6B" w:rsidP="00584469">
      <w:pPr>
        <w:spacing w:line="240" w:lineRule="auto"/>
        <w:rPr>
          <w:rFonts w:ascii="Times New Roman" w:hAnsi="Times New Roman" w:cs="Times New Roman"/>
          <w:b/>
          <w:sz w:val="24"/>
          <w:szCs w:val="24"/>
        </w:rPr>
      </w:pPr>
    </w:p>
    <w:p w:rsidR="00762D6B" w:rsidRDefault="00762D6B" w:rsidP="00584469">
      <w:pPr>
        <w:spacing w:line="240" w:lineRule="auto"/>
        <w:rPr>
          <w:rFonts w:ascii="Times New Roman" w:hAnsi="Times New Roman" w:cs="Times New Roman"/>
          <w:b/>
          <w:sz w:val="24"/>
          <w:szCs w:val="24"/>
        </w:rPr>
      </w:pPr>
    </w:p>
    <w:p w:rsidR="00DE0B10" w:rsidRDefault="00A703E9"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3.  Growth </w:t>
      </w:r>
      <w:r w:rsidR="00762D6B">
        <w:rPr>
          <w:rFonts w:ascii="Times New Roman" w:hAnsi="Times New Roman" w:cs="Times New Roman"/>
          <w:b/>
          <w:sz w:val="24"/>
          <w:szCs w:val="24"/>
        </w:rPr>
        <w:t xml:space="preserve">Rates </w:t>
      </w:r>
      <w:r>
        <w:rPr>
          <w:rFonts w:ascii="Times New Roman" w:hAnsi="Times New Roman" w:cs="Times New Roman"/>
          <w:b/>
          <w:sz w:val="24"/>
          <w:szCs w:val="24"/>
        </w:rPr>
        <w:t xml:space="preserve">in </w:t>
      </w:r>
      <w:r w:rsidR="00DE0B10">
        <w:rPr>
          <w:rFonts w:ascii="Times New Roman" w:hAnsi="Times New Roman" w:cs="Times New Roman"/>
          <w:b/>
          <w:sz w:val="24"/>
          <w:szCs w:val="24"/>
        </w:rPr>
        <w:t>Residential Building Pe</w:t>
      </w:r>
      <w:r w:rsidR="00CF5C9B">
        <w:rPr>
          <w:rFonts w:ascii="Times New Roman" w:hAnsi="Times New Roman" w:cs="Times New Roman"/>
          <w:b/>
          <w:sz w:val="24"/>
          <w:szCs w:val="24"/>
        </w:rPr>
        <w:t>rmits, NC, US,</w:t>
      </w:r>
      <w:r>
        <w:rPr>
          <w:rFonts w:ascii="Times New Roman" w:hAnsi="Times New Roman" w:cs="Times New Roman"/>
          <w:b/>
          <w:sz w:val="24"/>
          <w:szCs w:val="24"/>
        </w:rPr>
        <w:t xml:space="preserve"> </w:t>
      </w:r>
      <w:r w:rsidR="00762D6B">
        <w:rPr>
          <w:rFonts w:ascii="Times New Roman" w:hAnsi="Times New Roman" w:cs="Times New Roman"/>
          <w:b/>
          <w:sz w:val="24"/>
          <w:szCs w:val="24"/>
        </w:rPr>
        <w:t>a</w:t>
      </w:r>
      <w:r>
        <w:rPr>
          <w:rFonts w:ascii="Times New Roman" w:hAnsi="Times New Roman" w:cs="Times New Roman"/>
          <w:b/>
          <w:sz w:val="24"/>
          <w:szCs w:val="24"/>
        </w:rPr>
        <w:t xml:space="preserve">nd </w:t>
      </w:r>
      <w:r w:rsidR="00762D6B">
        <w:rPr>
          <w:rFonts w:ascii="Times New Roman" w:hAnsi="Times New Roman" w:cs="Times New Roman"/>
          <w:b/>
          <w:sz w:val="24"/>
          <w:szCs w:val="24"/>
        </w:rPr>
        <w:t>SE</w:t>
      </w:r>
      <w:r>
        <w:rPr>
          <w:rFonts w:ascii="Times New Roman" w:hAnsi="Times New Roman" w:cs="Times New Roman"/>
          <w:b/>
          <w:sz w:val="24"/>
          <w:szCs w:val="24"/>
        </w:rPr>
        <w:t>, 2015-18</w:t>
      </w:r>
      <w:r w:rsidR="00DE0B10">
        <w:rPr>
          <w:rFonts w:ascii="Times New Roman" w:hAnsi="Times New Roman" w:cs="Times New Roman"/>
          <w:b/>
          <w:sz w:val="24"/>
          <w:szCs w:val="24"/>
        </w:rPr>
        <w:t>.</w:t>
      </w:r>
    </w:p>
    <w:p w:rsidR="00A703E9" w:rsidRDefault="00A703E9" w:rsidP="00584469">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0B10" w:rsidRPr="00A703E9" w:rsidRDefault="00762D6B" w:rsidP="00584469">
      <w:pPr>
        <w:spacing w:line="240" w:lineRule="auto"/>
        <w:rPr>
          <w:rFonts w:cstheme="minorHAnsi"/>
          <w:sz w:val="20"/>
          <w:szCs w:val="20"/>
        </w:rPr>
      </w:pPr>
      <w:r>
        <w:rPr>
          <w:rFonts w:cstheme="minorHAnsi"/>
          <w:sz w:val="20"/>
          <w:szCs w:val="20"/>
        </w:rPr>
        <w:t>R</w:t>
      </w:r>
      <w:r w:rsidR="0035791F">
        <w:rPr>
          <w:rFonts w:cstheme="minorHAnsi"/>
          <w:sz w:val="20"/>
          <w:szCs w:val="20"/>
        </w:rPr>
        <w:t xml:space="preserve">ates for </w:t>
      </w:r>
      <w:r w:rsidR="00A703E9">
        <w:rPr>
          <w:rFonts w:cstheme="minorHAnsi"/>
          <w:sz w:val="20"/>
          <w:szCs w:val="20"/>
        </w:rPr>
        <w:t>2</w:t>
      </w:r>
      <w:r w:rsidR="0035791F">
        <w:rPr>
          <w:rFonts w:cstheme="minorHAnsi"/>
          <w:sz w:val="20"/>
          <w:szCs w:val="20"/>
        </w:rPr>
        <w:t>018 are</w:t>
      </w:r>
      <w:r w:rsidR="00A703E9">
        <w:rPr>
          <w:rFonts w:cstheme="minorHAnsi"/>
          <w:sz w:val="20"/>
          <w:szCs w:val="20"/>
        </w:rPr>
        <w:t xml:space="preserve"> annualized </w:t>
      </w:r>
      <w:r>
        <w:rPr>
          <w:rFonts w:cstheme="minorHAnsi"/>
          <w:sz w:val="20"/>
          <w:szCs w:val="20"/>
        </w:rPr>
        <w:t xml:space="preserve">based on data </w:t>
      </w:r>
      <w:r w:rsidR="00A703E9">
        <w:rPr>
          <w:rFonts w:cstheme="minorHAnsi"/>
          <w:sz w:val="20"/>
          <w:szCs w:val="20"/>
        </w:rPr>
        <w:t>from January to June data</w:t>
      </w:r>
    </w:p>
    <w:p w:rsidR="00DE0B10" w:rsidRPr="00DE0B10" w:rsidRDefault="00DE0B10" w:rsidP="00584469">
      <w:pPr>
        <w:spacing w:line="240" w:lineRule="auto"/>
        <w:rPr>
          <w:rFonts w:cstheme="minorHAnsi"/>
          <w:sz w:val="20"/>
          <w:szCs w:val="20"/>
        </w:rPr>
      </w:pPr>
      <w:r>
        <w:rPr>
          <w:rFonts w:cstheme="minorHAnsi"/>
          <w:sz w:val="20"/>
          <w:szCs w:val="20"/>
        </w:rPr>
        <w:t>Source: U.S. Census Bureau.</w:t>
      </w:r>
    </w:p>
    <w:p w:rsidR="00DE0B10" w:rsidRDefault="00DE0B10" w:rsidP="00584469">
      <w:pPr>
        <w:spacing w:line="240" w:lineRule="auto"/>
        <w:rPr>
          <w:rFonts w:ascii="Times New Roman" w:hAnsi="Times New Roman" w:cs="Times New Roman"/>
          <w:b/>
          <w:sz w:val="24"/>
          <w:szCs w:val="24"/>
        </w:rPr>
      </w:pPr>
    </w:p>
    <w:p w:rsidR="00762D6B" w:rsidRPr="00762D6B" w:rsidRDefault="00762D6B" w:rsidP="0058446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Figure 3 shows trends in residential building permits in North Carolina, the nation, and </w:t>
      </w:r>
      <w:r w:rsidR="007D29E2">
        <w:rPr>
          <w:rFonts w:ascii="Times New Roman" w:hAnsi="Times New Roman" w:cs="Times New Roman"/>
          <w:sz w:val="24"/>
          <w:szCs w:val="24"/>
        </w:rPr>
        <w:t>t</w:t>
      </w:r>
      <w:r>
        <w:rPr>
          <w:rFonts w:ascii="Times New Roman" w:hAnsi="Times New Roman" w:cs="Times New Roman"/>
          <w:sz w:val="24"/>
          <w:szCs w:val="24"/>
        </w:rPr>
        <w:t>he Southeast.   Unless activity becomes stronger in the second half of 2018, it appears permit growth will be slower in the state in 2018.   This would be consistent with national trends but the opposite of an apparent acceleration in permits in the Southeast.</w:t>
      </w:r>
    </w:p>
    <w:p w:rsidR="00DE0B10" w:rsidRDefault="00DE0B10" w:rsidP="00584469">
      <w:pPr>
        <w:spacing w:line="240" w:lineRule="auto"/>
        <w:rPr>
          <w:rFonts w:ascii="Times New Roman" w:hAnsi="Times New Roman" w:cs="Times New Roman"/>
          <w:b/>
          <w:sz w:val="24"/>
          <w:szCs w:val="24"/>
        </w:rPr>
      </w:pPr>
    </w:p>
    <w:p w:rsidR="00190EAF" w:rsidRPr="006366EA" w:rsidRDefault="006366EA" w:rsidP="00584469">
      <w:pPr>
        <w:spacing w:line="240" w:lineRule="auto"/>
        <w:rPr>
          <w:rFonts w:ascii="Times New Roman" w:hAnsi="Times New Roman" w:cs="Times New Roman"/>
          <w:b/>
          <w:sz w:val="24"/>
          <w:szCs w:val="24"/>
        </w:rPr>
      </w:pPr>
      <w:r>
        <w:rPr>
          <w:rFonts w:ascii="Times New Roman" w:hAnsi="Times New Roman" w:cs="Times New Roman"/>
          <w:b/>
          <w:sz w:val="24"/>
          <w:szCs w:val="24"/>
        </w:rPr>
        <w:t>Statewide Labor Market Trends</w:t>
      </w:r>
      <w:r w:rsidR="00FA77C8">
        <w:rPr>
          <w:rFonts w:ascii="Times New Roman" w:hAnsi="Times New Roman" w:cs="Times New Roman"/>
          <w:b/>
          <w:sz w:val="24"/>
          <w:szCs w:val="24"/>
        </w:rPr>
        <w:t xml:space="preserve"> </w:t>
      </w:r>
      <w:r w:rsidR="001877B6">
        <w:rPr>
          <w:rFonts w:ascii="Times New Roman" w:hAnsi="Times New Roman" w:cs="Times New Roman"/>
          <w:b/>
          <w:sz w:val="24"/>
          <w:szCs w:val="24"/>
        </w:rPr>
        <w:t xml:space="preserve"> </w:t>
      </w:r>
    </w:p>
    <w:p w:rsidR="00E3233D" w:rsidRDefault="007D29E2" w:rsidP="0058446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If the trends of the first half of 2018 continue for the second half, then North Carolina’s job growth in 2018 will be the highest since</w:t>
      </w:r>
      <w:r w:rsidR="00E3233D">
        <w:rPr>
          <w:rFonts w:ascii="Times New Roman" w:hAnsi="Times New Roman" w:cs="Times New Roman"/>
          <w:sz w:val="24"/>
          <w:szCs w:val="24"/>
        </w:rPr>
        <w:t xml:space="preserve"> the end of the Great Recession (Figure 4).</w:t>
      </w:r>
      <w:r>
        <w:rPr>
          <w:rFonts w:ascii="Times New Roman" w:hAnsi="Times New Roman" w:cs="Times New Roman"/>
          <w:sz w:val="24"/>
          <w:szCs w:val="24"/>
        </w:rPr>
        <w:t xml:space="preserve">   The state’s job growth rate will also far exceed the national growth rate and will be the seventh year in a row in which North Carolina’s addition of jobs </w:t>
      </w:r>
      <w:r w:rsidR="00E3233D">
        <w:rPr>
          <w:rFonts w:ascii="Times New Roman" w:hAnsi="Times New Roman" w:cs="Times New Roman"/>
          <w:sz w:val="24"/>
          <w:szCs w:val="24"/>
        </w:rPr>
        <w:t>was faster than the nation’s gain in jobs.</w:t>
      </w:r>
    </w:p>
    <w:p w:rsidR="00F429BB" w:rsidRDefault="00E3233D" w:rsidP="0058446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North Carolina – and the nation – also had improvement in each of the three major unemployment rates during 2017 and early 2018 (Figure 5).  The “headline” jobless rate is the most often quoted, but it has a high standard for counting an individual as unemployed – requiring that the person has no job, wants a job, and has looked for a job in the past month.  </w:t>
      </w:r>
      <w:r w:rsidR="003A34D1">
        <w:rPr>
          <w:rFonts w:ascii="Times New Roman" w:hAnsi="Times New Roman" w:cs="Times New Roman"/>
          <w:sz w:val="24"/>
          <w:szCs w:val="24"/>
        </w:rPr>
        <w:t xml:space="preserve">The “U5” measure only requires the individual </w:t>
      </w:r>
      <w:r w:rsidR="00433196">
        <w:rPr>
          <w:rFonts w:ascii="Times New Roman" w:hAnsi="Times New Roman" w:cs="Times New Roman"/>
          <w:sz w:val="24"/>
          <w:szCs w:val="24"/>
        </w:rPr>
        <w:t xml:space="preserve">not </w:t>
      </w:r>
      <w:r w:rsidR="003A34D1">
        <w:rPr>
          <w:rFonts w:ascii="Times New Roman" w:hAnsi="Times New Roman" w:cs="Times New Roman"/>
          <w:sz w:val="24"/>
          <w:szCs w:val="24"/>
        </w:rPr>
        <w:t xml:space="preserve">to </w:t>
      </w:r>
      <w:r w:rsidR="00433196">
        <w:rPr>
          <w:rFonts w:ascii="Times New Roman" w:hAnsi="Times New Roman" w:cs="Times New Roman"/>
          <w:sz w:val="24"/>
          <w:szCs w:val="24"/>
        </w:rPr>
        <w:t>have a job and to want a job in order to be counted as unemployed.  The “U6” rate is the broadest measure of unemployment, including those counted as unemployed by the “U5” rate as well as those individuals working part-time only because full-time work cannot be found.</w:t>
      </w:r>
    </w:p>
    <w:p w:rsidR="003A34D1" w:rsidRDefault="003A34D1" w:rsidP="00584469">
      <w:pPr>
        <w:spacing w:line="240" w:lineRule="auto"/>
        <w:rPr>
          <w:rFonts w:ascii="Times New Roman" w:hAnsi="Times New Roman" w:cs="Times New Roman"/>
          <w:b/>
          <w:sz w:val="24"/>
          <w:szCs w:val="24"/>
        </w:rPr>
      </w:pPr>
    </w:p>
    <w:p w:rsidR="00B90C41" w:rsidRPr="00F429BB" w:rsidRDefault="007D3A54"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4</w:t>
      </w:r>
      <w:r w:rsidR="00B90C41">
        <w:rPr>
          <w:rFonts w:ascii="Times New Roman" w:hAnsi="Times New Roman" w:cs="Times New Roman"/>
          <w:b/>
          <w:sz w:val="24"/>
          <w:szCs w:val="24"/>
        </w:rPr>
        <w:t xml:space="preserve">.  Annual Job Growth Rates (%) in North </w:t>
      </w:r>
      <w:r w:rsidR="003A34D1">
        <w:rPr>
          <w:rFonts w:ascii="Times New Roman" w:hAnsi="Times New Roman" w:cs="Times New Roman"/>
          <w:b/>
          <w:sz w:val="24"/>
          <w:szCs w:val="24"/>
        </w:rPr>
        <w:t>Carolina and the US</w:t>
      </w:r>
      <w:r w:rsidR="00F429BB">
        <w:rPr>
          <w:rFonts w:ascii="Times New Roman" w:hAnsi="Times New Roman" w:cs="Times New Roman"/>
          <w:b/>
          <w:sz w:val="24"/>
          <w:szCs w:val="24"/>
        </w:rPr>
        <w:t>, 2010-2018</w:t>
      </w:r>
      <w:r w:rsidR="00B90C41">
        <w:rPr>
          <w:rFonts w:ascii="Times New Roman" w:hAnsi="Times New Roman" w:cs="Times New Roman"/>
          <w:b/>
          <w:sz w:val="24"/>
          <w:szCs w:val="24"/>
        </w:rPr>
        <w:t>.</w:t>
      </w:r>
    </w:p>
    <w:p w:rsidR="00B90C41" w:rsidRDefault="00B90C41" w:rsidP="00584469">
      <w:pPr>
        <w:spacing w:line="240" w:lineRule="auto"/>
        <w:rPr>
          <w:rFonts w:cs="Times New Roman"/>
          <w:sz w:val="20"/>
          <w:szCs w:val="20"/>
        </w:rPr>
      </w:pPr>
      <w:r w:rsidRPr="00B90C41">
        <w:rPr>
          <w:rFonts w:cs="Times New Roman"/>
          <w:noProof/>
          <w:sz w:val="20"/>
          <w:szCs w:val="20"/>
        </w:rPr>
        <w:drawing>
          <wp:inline distT="0" distB="0" distL="0" distR="0" wp14:anchorId="452DF4CC" wp14:editId="31C12A7D">
            <wp:extent cx="5943600" cy="2792895"/>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5F77" w:rsidRDefault="00B90C41" w:rsidP="00584469">
      <w:pPr>
        <w:spacing w:line="240" w:lineRule="auto"/>
        <w:rPr>
          <w:rFonts w:cs="Times New Roman"/>
          <w:sz w:val="20"/>
          <w:szCs w:val="20"/>
        </w:rPr>
      </w:pPr>
      <w:r>
        <w:rPr>
          <w:rFonts w:cs="Times New Roman"/>
          <w:sz w:val="20"/>
          <w:szCs w:val="20"/>
        </w:rPr>
        <w:t xml:space="preserve">Source:  Nonfarm </w:t>
      </w:r>
      <w:r w:rsidR="00CF5C9B">
        <w:rPr>
          <w:rFonts w:cs="Times New Roman"/>
          <w:sz w:val="20"/>
          <w:szCs w:val="20"/>
        </w:rPr>
        <w:t xml:space="preserve">payroll </w:t>
      </w:r>
      <w:r>
        <w:rPr>
          <w:rFonts w:cs="Times New Roman"/>
          <w:sz w:val="20"/>
          <w:szCs w:val="20"/>
        </w:rPr>
        <w:t xml:space="preserve">employment numbers from the </w:t>
      </w:r>
      <w:r w:rsidR="006E1E07">
        <w:rPr>
          <w:rFonts w:cs="Times New Roman"/>
          <w:sz w:val="20"/>
          <w:szCs w:val="20"/>
        </w:rPr>
        <w:t>U.S. Bureau o</w:t>
      </w:r>
      <w:r w:rsidR="00AA6D4F">
        <w:rPr>
          <w:rFonts w:cs="Times New Roman"/>
          <w:sz w:val="20"/>
          <w:szCs w:val="20"/>
        </w:rPr>
        <w:t>f Labor Statistics based</w:t>
      </w:r>
      <w:r w:rsidR="003A34D1">
        <w:rPr>
          <w:rFonts w:cs="Times New Roman"/>
          <w:sz w:val="20"/>
          <w:szCs w:val="20"/>
        </w:rPr>
        <w:t xml:space="preserve"> on December to December values. R</w:t>
      </w:r>
      <w:r w:rsidR="00AA6D4F">
        <w:rPr>
          <w:rFonts w:cs="Times New Roman"/>
          <w:sz w:val="20"/>
          <w:szCs w:val="20"/>
        </w:rPr>
        <w:t xml:space="preserve">ates </w:t>
      </w:r>
      <w:r w:rsidR="003A34D1">
        <w:rPr>
          <w:rFonts w:cs="Times New Roman"/>
          <w:sz w:val="20"/>
          <w:szCs w:val="20"/>
        </w:rPr>
        <w:t xml:space="preserve">for 2018 </w:t>
      </w:r>
      <w:r w:rsidR="00AA6D4F">
        <w:rPr>
          <w:rFonts w:cs="Times New Roman"/>
          <w:sz w:val="20"/>
          <w:szCs w:val="20"/>
        </w:rPr>
        <w:t xml:space="preserve">are annualized based on available data for </w:t>
      </w:r>
      <w:r w:rsidR="003A34D1">
        <w:rPr>
          <w:rFonts w:cs="Times New Roman"/>
          <w:sz w:val="20"/>
          <w:szCs w:val="20"/>
        </w:rPr>
        <w:t xml:space="preserve">the </w:t>
      </w:r>
      <w:r w:rsidR="00AA6D4F">
        <w:rPr>
          <w:rFonts w:cs="Times New Roman"/>
          <w:sz w:val="20"/>
          <w:szCs w:val="20"/>
        </w:rPr>
        <w:t>first half of the year.</w:t>
      </w:r>
      <w:r w:rsidR="001F6F2E">
        <w:rPr>
          <w:rFonts w:cs="Times New Roman"/>
          <w:sz w:val="20"/>
          <w:szCs w:val="20"/>
        </w:rPr>
        <w:t xml:space="preserve"> All data are seasonally adjusted.</w:t>
      </w:r>
      <w:r w:rsidR="00455F77">
        <w:rPr>
          <w:rFonts w:cs="Times New Roman"/>
          <w:sz w:val="20"/>
          <w:szCs w:val="20"/>
        </w:rPr>
        <w:t xml:space="preserve"> </w:t>
      </w:r>
    </w:p>
    <w:p w:rsidR="00F429BB" w:rsidRDefault="00F429BB" w:rsidP="00584469">
      <w:pPr>
        <w:spacing w:line="240" w:lineRule="auto"/>
        <w:rPr>
          <w:rFonts w:ascii="Times New Roman" w:hAnsi="Times New Roman" w:cs="Times New Roman"/>
          <w:b/>
          <w:sz w:val="24"/>
          <w:szCs w:val="24"/>
        </w:rPr>
      </w:pPr>
    </w:p>
    <w:p w:rsidR="00C7400F" w:rsidRPr="00455F77" w:rsidRDefault="007D3A54"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5</w:t>
      </w:r>
      <w:r w:rsidR="00455F77">
        <w:rPr>
          <w:rFonts w:ascii="Times New Roman" w:hAnsi="Times New Roman" w:cs="Times New Roman"/>
          <w:b/>
          <w:sz w:val="24"/>
          <w:szCs w:val="24"/>
        </w:rPr>
        <w:t xml:space="preserve">.  Alternative Unemployment </w:t>
      </w:r>
      <w:r w:rsidR="00B661FB">
        <w:rPr>
          <w:rFonts w:ascii="Times New Roman" w:hAnsi="Times New Roman" w:cs="Times New Roman"/>
          <w:b/>
          <w:sz w:val="24"/>
          <w:szCs w:val="24"/>
        </w:rPr>
        <w:t xml:space="preserve">Rate (%) </w:t>
      </w:r>
      <w:r w:rsidR="00455F77">
        <w:rPr>
          <w:rFonts w:ascii="Times New Roman" w:hAnsi="Times New Roman" w:cs="Times New Roman"/>
          <w:b/>
          <w:sz w:val="24"/>
          <w:szCs w:val="24"/>
        </w:rPr>
        <w:t xml:space="preserve">Measures </w:t>
      </w:r>
      <w:r w:rsidR="00F429BB">
        <w:rPr>
          <w:rFonts w:ascii="Times New Roman" w:hAnsi="Times New Roman" w:cs="Times New Roman"/>
          <w:b/>
          <w:sz w:val="24"/>
          <w:szCs w:val="24"/>
        </w:rPr>
        <w:t>for NC and the US, 2017 and 2018.</w:t>
      </w:r>
    </w:p>
    <w:p w:rsidR="00C7400F" w:rsidRDefault="00455F77" w:rsidP="00584469">
      <w:pPr>
        <w:spacing w:line="240" w:lineRule="auto"/>
        <w:rPr>
          <w:rFonts w:cs="Times New Roman"/>
          <w:sz w:val="20"/>
          <w:szCs w:val="20"/>
        </w:rPr>
      </w:pPr>
      <w:r>
        <w:rPr>
          <w:rFonts w:ascii="Times New Roman" w:hAnsi="Times New Roman" w:cs="Times New Roman"/>
          <w:noProof/>
          <w:sz w:val="24"/>
          <w:szCs w:val="24"/>
        </w:rPr>
        <w:drawing>
          <wp:inline distT="0" distB="0" distL="0" distR="0" wp14:anchorId="4493858E" wp14:editId="6A77629D">
            <wp:extent cx="6141720" cy="3253740"/>
            <wp:effectExtent l="0" t="0" r="1143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233D" w:rsidRPr="00433196" w:rsidRDefault="00455F77" w:rsidP="00584469">
      <w:pPr>
        <w:spacing w:line="240" w:lineRule="auto"/>
        <w:rPr>
          <w:rFonts w:cs="Times New Roman"/>
          <w:sz w:val="20"/>
          <w:szCs w:val="20"/>
        </w:rPr>
      </w:pPr>
      <w:r>
        <w:rPr>
          <w:rFonts w:cs="Times New Roman"/>
          <w:sz w:val="20"/>
          <w:szCs w:val="20"/>
        </w:rPr>
        <w:t xml:space="preserve">Source:  </w:t>
      </w:r>
      <w:r w:rsidR="00B661FB">
        <w:rPr>
          <w:rFonts w:cs="Times New Roman"/>
          <w:sz w:val="20"/>
          <w:szCs w:val="20"/>
        </w:rPr>
        <w:t>U.S. Bureau of Labor Statistics; annual averages.</w:t>
      </w:r>
      <w:r w:rsidR="00E3233D">
        <w:rPr>
          <w:rFonts w:cs="Times New Roman"/>
          <w:sz w:val="20"/>
          <w:szCs w:val="20"/>
        </w:rPr>
        <w:t xml:space="preserve">  Rates for 2018 </w:t>
      </w:r>
      <w:r w:rsidR="003A34D1">
        <w:rPr>
          <w:rFonts w:cs="Times New Roman"/>
          <w:sz w:val="20"/>
          <w:szCs w:val="20"/>
        </w:rPr>
        <w:t xml:space="preserve">are </w:t>
      </w:r>
      <w:r w:rsidR="00E3233D">
        <w:rPr>
          <w:rFonts w:cs="Times New Roman"/>
          <w:sz w:val="20"/>
          <w:szCs w:val="20"/>
        </w:rPr>
        <w:t>based on averages for the third quarter of 2017 through the second quarter of 2018.</w:t>
      </w:r>
    </w:p>
    <w:p w:rsidR="00BA708E" w:rsidRDefault="00BA708E" w:rsidP="007D3A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North Carolina’s “headline” and “U5” rates – although lower in 2018 than in 2017 – were still higher than their national counterparts in 2018.   But for the broadest jobless rate – “U6” – the state’s level continued to be under that national level in 2018, just as it was in 2017.</w:t>
      </w:r>
    </w:p>
    <w:p w:rsidR="007D3A54" w:rsidRPr="007D3A54" w:rsidRDefault="00BA708E" w:rsidP="007D3A54">
      <w:pPr>
        <w:spacing w:line="240" w:lineRule="auto"/>
        <w:rPr>
          <w:rFonts w:ascii="Times New Roman" w:hAnsi="Times New Roman" w:cs="Times New Roman"/>
          <w:sz w:val="24"/>
          <w:szCs w:val="24"/>
        </w:rPr>
      </w:pPr>
      <w:r>
        <w:rPr>
          <w:rFonts w:ascii="Times New Roman" w:hAnsi="Times New Roman" w:cs="Times New Roman"/>
          <w:sz w:val="24"/>
          <w:szCs w:val="24"/>
        </w:rPr>
        <w:tab/>
      </w:r>
      <w:r w:rsidR="003A34D1">
        <w:rPr>
          <w:rFonts w:ascii="Times New Roman" w:hAnsi="Times New Roman" w:cs="Times New Roman"/>
          <w:sz w:val="24"/>
          <w:szCs w:val="24"/>
        </w:rPr>
        <w:t>The average r</w:t>
      </w:r>
      <w:r>
        <w:rPr>
          <w:rFonts w:ascii="Times New Roman" w:hAnsi="Times New Roman" w:cs="Times New Roman"/>
          <w:sz w:val="24"/>
          <w:szCs w:val="24"/>
        </w:rPr>
        <w:t>eal</w:t>
      </w:r>
      <w:r w:rsidR="003A34D1">
        <w:rPr>
          <w:rFonts w:ascii="Times New Roman" w:hAnsi="Times New Roman" w:cs="Times New Roman"/>
          <w:sz w:val="24"/>
          <w:szCs w:val="24"/>
        </w:rPr>
        <w:t xml:space="preserve"> (inflation-adjusted) wage rate</w:t>
      </w:r>
      <w:r>
        <w:rPr>
          <w:rFonts w:ascii="Times New Roman" w:hAnsi="Times New Roman" w:cs="Times New Roman"/>
          <w:sz w:val="24"/>
          <w:szCs w:val="24"/>
        </w:rPr>
        <w:t xml:space="preserve"> for North Carolina workers was unchanged in 2018 compared to 2017 (Figure 6).  In contrast, national workers lost 6 cents per hour in inflation-adjusted pay in 2018 from 2017.  Wages in both the nation and North Carolina have been essentially flat since 2016 when inflation is taken into account.  </w:t>
      </w:r>
      <w:r w:rsidR="001B2CED">
        <w:rPr>
          <w:rFonts w:ascii="Times New Roman" w:hAnsi="Times New Roman" w:cs="Times New Roman"/>
          <w:sz w:val="24"/>
          <w:szCs w:val="24"/>
        </w:rPr>
        <w:t xml:space="preserve"> However, the gap in real wages between the nation and North Carolina has shrunk between 2014 and 2018.  In 2014, the average national wage rate was $2.87 higher than the average North Carolina wage rate in real dollars; in 2018 the </w:t>
      </w:r>
      <w:r w:rsidR="004E2D91">
        <w:rPr>
          <w:rFonts w:ascii="Times New Roman" w:hAnsi="Times New Roman" w:cs="Times New Roman"/>
          <w:sz w:val="24"/>
          <w:szCs w:val="24"/>
        </w:rPr>
        <w:t>difference had dropped to $2.27.</w:t>
      </w:r>
    </w:p>
    <w:p w:rsidR="007D3A54" w:rsidRDefault="004E2D91" w:rsidP="00584469">
      <w:pPr>
        <w:spacing w:line="240" w:lineRule="auto"/>
        <w:rPr>
          <w:rFonts w:ascii="Times New Roman" w:hAnsi="Times New Roman" w:cs="Times New Roman"/>
          <w:sz w:val="24"/>
          <w:szCs w:val="24"/>
        </w:rPr>
      </w:pPr>
      <w:r>
        <w:rPr>
          <w:rFonts w:ascii="Times New Roman" w:hAnsi="Times New Roman" w:cs="Times New Roman"/>
          <w:sz w:val="24"/>
          <w:szCs w:val="24"/>
        </w:rPr>
        <w:tab/>
        <w:t>Last, there is good news about the “occupational divide” – also known as the “hollowing out” of the labor force – in North Carolina.   In contrast to the period 2009-2016, when the largest job gains – by far – were in high-paying and low-paying economic sectors in the state, in both 2017 and 2018 this patter</w:t>
      </w:r>
      <w:r w:rsidR="00243C13">
        <w:rPr>
          <w:rFonts w:ascii="Times New Roman" w:hAnsi="Times New Roman" w:cs="Times New Roman"/>
          <w:sz w:val="24"/>
          <w:szCs w:val="24"/>
        </w:rPr>
        <w:t xml:space="preserve">n appears to have changed </w:t>
      </w:r>
      <w:r>
        <w:rPr>
          <w:rFonts w:ascii="Times New Roman" w:hAnsi="Times New Roman" w:cs="Times New Roman"/>
          <w:sz w:val="24"/>
          <w:szCs w:val="24"/>
        </w:rPr>
        <w:t>(Figure 7).   In 2017, the fastest growth was in high-paying jobs, the second-fastest growth was in middle-paying jobs, and the lowest growth was in low-paying jobs.</w:t>
      </w:r>
      <w:r>
        <w:rPr>
          <w:rStyle w:val="FootnoteReference"/>
          <w:rFonts w:ascii="Times New Roman" w:hAnsi="Times New Roman" w:cs="Times New Roman"/>
          <w:sz w:val="24"/>
          <w:szCs w:val="24"/>
        </w:rPr>
        <w:footnoteReference w:id="3"/>
      </w:r>
      <w:r w:rsidR="00B452D7">
        <w:rPr>
          <w:rFonts w:ascii="Times New Roman" w:hAnsi="Times New Roman" w:cs="Times New Roman"/>
          <w:sz w:val="24"/>
          <w:szCs w:val="24"/>
        </w:rPr>
        <w:t xml:space="preserve">  In 2018, high-paying jobs also had the fastest growth, </w:t>
      </w:r>
    </w:p>
    <w:p w:rsidR="004E2D91" w:rsidRDefault="004E2D91" w:rsidP="00584469">
      <w:pPr>
        <w:spacing w:line="240" w:lineRule="auto"/>
        <w:rPr>
          <w:rFonts w:ascii="Times New Roman" w:hAnsi="Times New Roman" w:cs="Times New Roman"/>
          <w:sz w:val="24"/>
          <w:szCs w:val="24"/>
        </w:rPr>
      </w:pPr>
    </w:p>
    <w:p w:rsidR="00A66D7D" w:rsidRPr="00A66D7D" w:rsidRDefault="00A66D7D" w:rsidP="0058446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007D3A54">
        <w:rPr>
          <w:rFonts w:ascii="Times New Roman" w:hAnsi="Times New Roman" w:cs="Times New Roman"/>
          <w:b/>
          <w:sz w:val="24"/>
          <w:szCs w:val="24"/>
        </w:rPr>
        <w:t>6</w:t>
      </w:r>
      <w:r w:rsidR="0047193B">
        <w:rPr>
          <w:rFonts w:ascii="Times New Roman" w:hAnsi="Times New Roman" w:cs="Times New Roman"/>
          <w:b/>
          <w:sz w:val="24"/>
          <w:szCs w:val="24"/>
        </w:rPr>
        <w:t>.  Annual Real Wage Rates, NC, and US (2018 $)</w:t>
      </w:r>
      <w:r>
        <w:rPr>
          <w:rFonts w:ascii="Times New Roman" w:hAnsi="Times New Roman" w:cs="Times New Roman"/>
          <w:b/>
          <w:sz w:val="24"/>
          <w:szCs w:val="24"/>
        </w:rPr>
        <w:t>.</w:t>
      </w:r>
    </w:p>
    <w:p w:rsidR="00A66D7D" w:rsidRDefault="00A66D7D" w:rsidP="00584469">
      <w:pPr>
        <w:spacing w:line="240" w:lineRule="auto"/>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486400" cy="3276600"/>
            <wp:effectExtent l="0" t="0" r="127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2D55" w:rsidRPr="007D3A54" w:rsidRDefault="00A66D7D" w:rsidP="00584469">
      <w:pPr>
        <w:spacing w:line="240" w:lineRule="auto"/>
        <w:rPr>
          <w:rFonts w:cs="Times New Roman"/>
          <w:sz w:val="20"/>
          <w:szCs w:val="20"/>
        </w:rPr>
      </w:pPr>
      <w:r>
        <w:rPr>
          <w:rFonts w:cs="Times New Roman"/>
          <w:sz w:val="20"/>
          <w:szCs w:val="20"/>
        </w:rPr>
        <w:t>Source:  U.S.</w:t>
      </w:r>
      <w:r w:rsidR="00206E11">
        <w:rPr>
          <w:rFonts w:cs="Times New Roman"/>
          <w:sz w:val="20"/>
          <w:szCs w:val="20"/>
        </w:rPr>
        <w:t xml:space="preserve"> Bur</w:t>
      </w:r>
      <w:r w:rsidR="00B452D7">
        <w:rPr>
          <w:rFonts w:cs="Times New Roman"/>
          <w:sz w:val="20"/>
          <w:szCs w:val="20"/>
        </w:rPr>
        <w:t>eau of Labor Statistics; June</w:t>
      </w:r>
      <w:r>
        <w:rPr>
          <w:rFonts w:cs="Times New Roman"/>
          <w:sz w:val="20"/>
          <w:szCs w:val="20"/>
        </w:rPr>
        <w:t xml:space="preserve"> of e</w:t>
      </w:r>
      <w:r w:rsidR="00C66B9F">
        <w:rPr>
          <w:rFonts w:cs="Times New Roman"/>
          <w:sz w:val="20"/>
          <w:szCs w:val="20"/>
        </w:rPr>
        <w:t>ach year using the CPI deflator; private sector wages.</w:t>
      </w:r>
      <w:r w:rsidR="00330AD0">
        <w:rPr>
          <w:rFonts w:ascii="Times New Roman" w:hAnsi="Times New Roman" w:cs="Times New Roman"/>
          <w:sz w:val="24"/>
          <w:szCs w:val="24"/>
        </w:rPr>
        <w:tab/>
      </w:r>
    </w:p>
    <w:p w:rsidR="004E2D91" w:rsidRDefault="004E2D91" w:rsidP="00584469">
      <w:pPr>
        <w:spacing w:line="240" w:lineRule="auto"/>
        <w:rPr>
          <w:rFonts w:ascii="Times New Roman" w:hAnsi="Times New Roman" w:cs="Times New Roman"/>
          <w:b/>
          <w:sz w:val="24"/>
          <w:szCs w:val="24"/>
        </w:rPr>
      </w:pPr>
    </w:p>
    <w:p w:rsidR="001870EB" w:rsidRPr="003222C1" w:rsidRDefault="007D3A54"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7</w:t>
      </w:r>
      <w:r w:rsidR="00243C13">
        <w:rPr>
          <w:rFonts w:ascii="Times New Roman" w:hAnsi="Times New Roman" w:cs="Times New Roman"/>
          <w:b/>
          <w:sz w:val="24"/>
          <w:szCs w:val="24"/>
        </w:rPr>
        <w:t>.  Changes in North Carolina Jobs by Level of Pay</w:t>
      </w:r>
      <w:r w:rsidR="003222C1">
        <w:rPr>
          <w:rFonts w:ascii="Times New Roman" w:hAnsi="Times New Roman" w:cs="Times New Roman"/>
          <w:b/>
          <w:sz w:val="24"/>
          <w:szCs w:val="24"/>
        </w:rPr>
        <w:t xml:space="preserve">, </w:t>
      </w:r>
      <w:r w:rsidR="00206E11">
        <w:rPr>
          <w:rFonts w:ascii="Times New Roman" w:hAnsi="Times New Roman" w:cs="Times New Roman"/>
          <w:b/>
          <w:sz w:val="24"/>
          <w:szCs w:val="24"/>
        </w:rPr>
        <w:t>2009-2016</w:t>
      </w:r>
      <w:r w:rsidR="0047193B">
        <w:rPr>
          <w:rFonts w:ascii="Times New Roman" w:hAnsi="Times New Roman" w:cs="Times New Roman"/>
          <w:b/>
          <w:sz w:val="24"/>
          <w:szCs w:val="24"/>
        </w:rPr>
        <w:t>,</w:t>
      </w:r>
      <w:r w:rsidR="00DE11C9">
        <w:rPr>
          <w:rFonts w:ascii="Times New Roman" w:hAnsi="Times New Roman" w:cs="Times New Roman"/>
          <w:b/>
          <w:sz w:val="24"/>
          <w:szCs w:val="24"/>
        </w:rPr>
        <w:t xml:space="preserve"> 2017</w:t>
      </w:r>
      <w:r w:rsidR="0047193B">
        <w:rPr>
          <w:rFonts w:ascii="Times New Roman" w:hAnsi="Times New Roman" w:cs="Times New Roman"/>
          <w:b/>
          <w:sz w:val="24"/>
          <w:szCs w:val="24"/>
        </w:rPr>
        <w:t>, and 2018</w:t>
      </w:r>
      <w:r w:rsidR="00DE11C9">
        <w:rPr>
          <w:rFonts w:ascii="Times New Roman" w:hAnsi="Times New Roman" w:cs="Times New Roman"/>
          <w:b/>
          <w:sz w:val="24"/>
          <w:szCs w:val="24"/>
        </w:rPr>
        <w:t xml:space="preserve"> </w:t>
      </w:r>
      <w:r w:rsidR="00886136">
        <w:rPr>
          <w:rFonts w:ascii="Times New Roman" w:hAnsi="Times New Roman" w:cs="Times New Roman"/>
          <w:b/>
          <w:sz w:val="24"/>
          <w:szCs w:val="24"/>
        </w:rPr>
        <w:t>(</w:t>
      </w:r>
      <w:r w:rsidR="00DE11C9">
        <w:rPr>
          <w:rFonts w:ascii="Times New Roman" w:hAnsi="Times New Roman" w:cs="Times New Roman"/>
          <w:b/>
          <w:sz w:val="24"/>
          <w:szCs w:val="24"/>
        </w:rPr>
        <w:t xml:space="preserve">Annualized </w:t>
      </w:r>
      <w:r w:rsidR="00243C13">
        <w:rPr>
          <w:rFonts w:ascii="Times New Roman" w:hAnsi="Times New Roman" w:cs="Times New Roman"/>
          <w:b/>
          <w:sz w:val="24"/>
          <w:szCs w:val="24"/>
        </w:rPr>
        <w:t>Percentage Change)</w:t>
      </w:r>
      <w:r w:rsidR="00DE11C9">
        <w:rPr>
          <w:rFonts w:ascii="Times New Roman" w:hAnsi="Times New Roman" w:cs="Times New Roman"/>
          <w:b/>
          <w:sz w:val="24"/>
          <w:szCs w:val="24"/>
        </w:rPr>
        <w:t>.</w:t>
      </w:r>
    </w:p>
    <w:p w:rsidR="003222C1" w:rsidRDefault="003222C1" w:rsidP="00584469">
      <w:pPr>
        <w:spacing w:line="240" w:lineRule="auto"/>
        <w:rPr>
          <w:rFonts w:ascii="Times New Roman" w:hAnsi="Times New Roman" w:cs="Times New Roman"/>
          <w:sz w:val="24"/>
          <w:szCs w:val="24"/>
        </w:rPr>
      </w:pPr>
      <w:r w:rsidRPr="003222C1">
        <w:rPr>
          <w:rFonts w:ascii="Times New Roman" w:hAnsi="Times New Roman" w:cs="Times New Roman"/>
          <w:noProof/>
          <w:sz w:val="24"/>
          <w:szCs w:val="24"/>
        </w:rPr>
        <w:drawing>
          <wp:inline distT="0" distB="0" distL="0" distR="0" wp14:anchorId="7D486FD1" wp14:editId="34F79CEE">
            <wp:extent cx="5943600" cy="3975652"/>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22C1" w:rsidRDefault="003222C1" w:rsidP="00584469">
      <w:pPr>
        <w:spacing w:line="240" w:lineRule="auto"/>
        <w:rPr>
          <w:rFonts w:cs="Times New Roman"/>
          <w:sz w:val="20"/>
          <w:szCs w:val="20"/>
        </w:rPr>
      </w:pPr>
      <w:r>
        <w:rPr>
          <w:rFonts w:cs="Times New Roman"/>
          <w:sz w:val="20"/>
          <w:szCs w:val="20"/>
        </w:rPr>
        <w:t>Source: U.S. Bureau of Labor Statistics.</w:t>
      </w:r>
      <w:r w:rsidR="006E32FD">
        <w:rPr>
          <w:rFonts w:cs="Times New Roman"/>
          <w:sz w:val="20"/>
          <w:szCs w:val="20"/>
        </w:rPr>
        <w:t xml:space="preserve">  </w:t>
      </w:r>
      <w:r w:rsidR="00243C13">
        <w:rPr>
          <w:rFonts w:cs="Times New Roman"/>
          <w:sz w:val="20"/>
          <w:szCs w:val="20"/>
        </w:rPr>
        <w:t xml:space="preserve">Data for 2018 are </w:t>
      </w:r>
      <w:r w:rsidR="006E32FD">
        <w:rPr>
          <w:rFonts w:cs="Times New Roman"/>
          <w:sz w:val="20"/>
          <w:szCs w:val="20"/>
        </w:rPr>
        <w:t>annualized based on data for first half of the year.</w:t>
      </w:r>
    </w:p>
    <w:p w:rsidR="007D3A54" w:rsidRDefault="007D3A54" w:rsidP="007D3A54">
      <w:pPr>
        <w:spacing w:line="240" w:lineRule="auto"/>
        <w:rPr>
          <w:rFonts w:ascii="ETimes New Roman" w:hAnsi="ETimes New Roman" w:cs="Times New Roman"/>
          <w:sz w:val="24"/>
          <w:szCs w:val="24"/>
        </w:rPr>
      </w:pPr>
    </w:p>
    <w:p w:rsidR="007D3A54" w:rsidRDefault="00B452D7" w:rsidP="007D3A54">
      <w:pPr>
        <w:spacing w:line="240" w:lineRule="auto"/>
        <w:rPr>
          <w:rFonts w:ascii="ETimes New Roman" w:hAnsi="ETimes New Roman" w:cs="Times New Roman"/>
          <w:sz w:val="24"/>
          <w:szCs w:val="24"/>
        </w:rPr>
      </w:pPr>
      <w:r>
        <w:rPr>
          <w:rFonts w:ascii="ETimes New Roman" w:hAnsi="ETimes New Roman" w:cs="Times New Roman"/>
          <w:sz w:val="24"/>
          <w:szCs w:val="24"/>
        </w:rPr>
        <w:t>with middle-payi</w:t>
      </w:r>
      <w:r w:rsidR="003A34D1">
        <w:rPr>
          <w:rFonts w:ascii="ETimes New Roman" w:hAnsi="ETimes New Roman" w:cs="Times New Roman"/>
          <w:sz w:val="24"/>
          <w:szCs w:val="24"/>
        </w:rPr>
        <w:t>ng and low-paying having recording similar</w:t>
      </w:r>
      <w:r>
        <w:rPr>
          <w:rFonts w:ascii="ETimes New Roman" w:hAnsi="ETimes New Roman" w:cs="Times New Roman"/>
          <w:sz w:val="24"/>
          <w:szCs w:val="24"/>
        </w:rPr>
        <w:t xml:space="preserve"> rates of growth.   </w:t>
      </w:r>
      <w:r w:rsidR="00CB0F94">
        <w:rPr>
          <w:rFonts w:ascii="ETimes New Roman" w:hAnsi="ETimes New Roman" w:cs="Times New Roman"/>
          <w:sz w:val="24"/>
          <w:szCs w:val="24"/>
        </w:rPr>
        <w:t>Construct</w:t>
      </w:r>
      <w:r w:rsidR="00243C13">
        <w:rPr>
          <w:rFonts w:ascii="ETimes New Roman" w:hAnsi="ETimes New Roman" w:cs="Times New Roman"/>
          <w:sz w:val="24"/>
          <w:szCs w:val="24"/>
        </w:rPr>
        <w:t xml:space="preserve">ion and manufacturing jobs </w:t>
      </w:r>
      <w:r w:rsidR="00CB0F94">
        <w:rPr>
          <w:rFonts w:ascii="ETimes New Roman" w:hAnsi="ETimes New Roman" w:cs="Times New Roman"/>
          <w:sz w:val="24"/>
          <w:szCs w:val="24"/>
        </w:rPr>
        <w:t>led the “middle-paying” rebound.</w:t>
      </w:r>
    </w:p>
    <w:p w:rsidR="00F33229" w:rsidRDefault="00C66B9F" w:rsidP="00E72D55">
      <w:pPr>
        <w:spacing w:line="240" w:lineRule="auto"/>
        <w:rPr>
          <w:rFonts w:ascii="ETimes New Roman" w:hAnsi="ETimes New Roman" w:cs="Times New Roman"/>
          <w:sz w:val="24"/>
          <w:szCs w:val="24"/>
        </w:rPr>
      </w:pPr>
      <w:r>
        <w:rPr>
          <w:rFonts w:ascii="ETimes New Roman" w:hAnsi="ETimes New Roman" w:cs="Times New Roman"/>
          <w:sz w:val="24"/>
          <w:szCs w:val="24"/>
        </w:rPr>
        <w:tab/>
      </w:r>
    </w:p>
    <w:p w:rsidR="00DE404F" w:rsidRDefault="00DE404F" w:rsidP="00E72D55">
      <w:pPr>
        <w:spacing w:line="240" w:lineRule="auto"/>
        <w:rPr>
          <w:rFonts w:ascii="ETimes New Roman" w:hAnsi="ETimes New Roman" w:cs="Times New Roman"/>
          <w:b/>
          <w:sz w:val="24"/>
          <w:szCs w:val="24"/>
        </w:rPr>
      </w:pPr>
      <w:r>
        <w:rPr>
          <w:rFonts w:ascii="ETimes New Roman" w:hAnsi="ETimes New Roman" w:cs="Times New Roman"/>
          <w:b/>
          <w:sz w:val="24"/>
          <w:szCs w:val="24"/>
        </w:rPr>
        <w:t>Regional Trends</w:t>
      </w:r>
    </w:p>
    <w:p w:rsidR="00F33229" w:rsidRDefault="00CB0F94" w:rsidP="00E72D55">
      <w:pPr>
        <w:spacing w:line="240" w:lineRule="auto"/>
        <w:rPr>
          <w:rFonts w:ascii="Times New Roman" w:hAnsi="Times New Roman" w:cs="Times New Roman"/>
          <w:sz w:val="24"/>
          <w:szCs w:val="24"/>
        </w:rPr>
      </w:pPr>
      <w:r>
        <w:rPr>
          <w:rFonts w:cs="Times New Roman"/>
          <w:sz w:val="20"/>
          <w:szCs w:val="20"/>
        </w:rPr>
        <w:tab/>
      </w:r>
      <w:r>
        <w:rPr>
          <w:rFonts w:ascii="Times New Roman" w:hAnsi="Times New Roman" w:cs="Times New Roman"/>
          <w:sz w:val="24"/>
          <w:szCs w:val="24"/>
        </w:rPr>
        <w:t xml:space="preserve">If the first-half trends continue for the entire year, there will be a shake-up in the regional job growth rankings </w:t>
      </w:r>
      <w:r w:rsidR="00BC63B5">
        <w:rPr>
          <w:rFonts w:ascii="Times New Roman" w:hAnsi="Times New Roman" w:cs="Times New Roman"/>
          <w:sz w:val="24"/>
          <w:szCs w:val="24"/>
        </w:rPr>
        <w:t xml:space="preserve">in 2018 </w:t>
      </w:r>
      <w:r>
        <w:rPr>
          <w:rFonts w:ascii="Times New Roman" w:hAnsi="Times New Roman" w:cs="Times New Roman"/>
          <w:sz w:val="24"/>
          <w:szCs w:val="24"/>
        </w:rPr>
        <w:t>(Figure 8).  The Triangle (Raleigh and Durham) will be among the top growing regions,</w:t>
      </w:r>
      <w:r w:rsidR="00BC63B5">
        <w:rPr>
          <w:rFonts w:ascii="Times New Roman" w:hAnsi="Times New Roman" w:cs="Times New Roman"/>
          <w:sz w:val="24"/>
          <w:szCs w:val="24"/>
        </w:rPr>
        <w:t xml:space="preserve"> but rather then Charlotte placing</w:t>
      </w:r>
      <w:r>
        <w:rPr>
          <w:rFonts w:ascii="Times New Roman" w:hAnsi="Times New Roman" w:cs="Times New Roman"/>
          <w:sz w:val="24"/>
          <w:szCs w:val="24"/>
        </w:rPr>
        <w:t xml:space="preserve"> in the upper echelon, Rural North Carolina will be one of the leaders in jo</w:t>
      </w:r>
      <w:r w:rsidR="00BC63B5">
        <w:rPr>
          <w:rFonts w:ascii="Times New Roman" w:hAnsi="Times New Roman" w:cs="Times New Roman"/>
          <w:sz w:val="24"/>
          <w:szCs w:val="24"/>
        </w:rPr>
        <w:t xml:space="preserve">b growth.  Greenville will </w:t>
      </w:r>
      <w:r>
        <w:rPr>
          <w:rFonts w:ascii="Times New Roman" w:hAnsi="Times New Roman" w:cs="Times New Roman"/>
          <w:sz w:val="24"/>
          <w:szCs w:val="24"/>
        </w:rPr>
        <w:t>be in the top four, with a job growth rate above the state average.   Also notable is Rocky Mount, which has strug</w:t>
      </w:r>
      <w:r w:rsidR="00BC63B5">
        <w:rPr>
          <w:rFonts w:ascii="Times New Roman" w:hAnsi="Times New Roman" w:cs="Times New Roman"/>
          <w:sz w:val="24"/>
          <w:szCs w:val="24"/>
        </w:rPr>
        <w:t xml:space="preserve">gled since the Great Recession.  It is on track to post </w:t>
      </w:r>
      <w:r>
        <w:rPr>
          <w:rFonts w:ascii="Times New Roman" w:hAnsi="Times New Roman" w:cs="Times New Roman"/>
          <w:sz w:val="24"/>
          <w:szCs w:val="24"/>
        </w:rPr>
        <w:t xml:space="preserve">a solid </w:t>
      </w:r>
      <w:r w:rsidR="00D33CCA">
        <w:rPr>
          <w:rFonts w:ascii="Times New Roman" w:hAnsi="Times New Roman" w:cs="Times New Roman"/>
          <w:sz w:val="24"/>
          <w:szCs w:val="24"/>
        </w:rPr>
        <w:t xml:space="preserve">2.22% </w:t>
      </w:r>
      <w:r w:rsidR="00BC63B5">
        <w:rPr>
          <w:rFonts w:ascii="Times New Roman" w:hAnsi="Times New Roman" w:cs="Times New Roman"/>
          <w:sz w:val="24"/>
          <w:szCs w:val="24"/>
        </w:rPr>
        <w:t xml:space="preserve">job </w:t>
      </w:r>
      <w:r w:rsidR="00D33CCA">
        <w:rPr>
          <w:rFonts w:ascii="Times New Roman" w:hAnsi="Times New Roman" w:cs="Times New Roman"/>
          <w:sz w:val="24"/>
          <w:szCs w:val="24"/>
        </w:rPr>
        <w:t>gro</w:t>
      </w:r>
      <w:r w:rsidR="00BC63B5">
        <w:rPr>
          <w:rFonts w:ascii="Times New Roman" w:hAnsi="Times New Roman" w:cs="Times New Roman"/>
          <w:sz w:val="24"/>
          <w:szCs w:val="24"/>
        </w:rPr>
        <w:t>wth rate in 2018.</w:t>
      </w:r>
    </w:p>
    <w:p w:rsidR="00D33CCA" w:rsidRPr="00CB0F94" w:rsidRDefault="00D33CCA" w:rsidP="00E72D5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Of course, these rankings do not mean the majority of job growth </w:t>
      </w:r>
      <w:r w:rsidR="00174D1B">
        <w:rPr>
          <w:rFonts w:ascii="Times New Roman" w:hAnsi="Times New Roman" w:cs="Times New Roman"/>
          <w:sz w:val="24"/>
          <w:szCs w:val="24"/>
        </w:rPr>
        <w:t xml:space="preserve">will be outside </w:t>
      </w:r>
      <w:r>
        <w:rPr>
          <w:rFonts w:ascii="Times New Roman" w:hAnsi="Times New Roman" w:cs="Times New Roman"/>
          <w:sz w:val="24"/>
          <w:szCs w:val="24"/>
        </w:rPr>
        <w:t xml:space="preserve">the larger metros – due to their size, the state’s five largest metropolitan areas (Charlotte, Raleigh-Cary, Durham-Chapel Hill, Greensboro, and Winston-Salem) are </w:t>
      </w:r>
      <w:r w:rsidR="00BC63B5">
        <w:rPr>
          <w:rFonts w:ascii="Times New Roman" w:hAnsi="Times New Roman" w:cs="Times New Roman"/>
          <w:sz w:val="24"/>
          <w:szCs w:val="24"/>
        </w:rPr>
        <w:t xml:space="preserve">still expected </w:t>
      </w:r>
      <w:r>
        <w:rPr>
          <w:rFonts w:ascii="Times New Roman" w:hAnsi="Times New Roman" w:cs="Times New Roman"/>
          <w:sz w:val="24"/>
          <w:szCs w:val="24"/>
        </w:rPr>
        <w:t xml:space="preserve">to account for 62% of the job growth in 2018.   </w:t>
      </w:r>
      <w:r w:rsidR="00BC63B5">
        <w:rPr>
          <w:rFonts w:ascii="Times New Roman" w:hAnsi="Times New Roman" w:cs="Times New Roman"/>
          <w:sz w:val="24"/>
          <w:szCs w:val="24"/>
        </w:rPr>
        <w:t>But job growth has accelerated</w:t>
      </w:r>
      <w:r w:rsidR="00174D1B">
        <w:rPr>
          <w:rFonts w:ascii="Times New Roman" w:hAnsi="Times New Roman" w:cs="Times New Roman"/>
          <w:sz w:val="24"/>
          <w:szCs w:val="24"/>
        </w:rPr>
        <w:t xml:space="preserve"> in smaller metros and rural areas </w:t>
      </w:r>
    </w:p>
    <w:p w:rsidR="004A2CA9" w:rsidRDefault="00E72D55" w:rsidP="00584469">
      <w:pPr>
        <w:spacing w:line="240" w:lineRule="auto"/>
        <w:rPr>
          <w:rFonts w:ascii="Times New Roman" w:hAnsi="Times New Roman" w:cs="Times New Roman"/>
          <w:sz w:val="24"/>
          <w:szCs w:val="24"/>
        </w:rPr>
      </w:pPr>
      <w:r>
        <w:rPr>
          <w:rFonts w:ascii="Times New Roman" w:hAnsi="Times New Roman" w:cs="Times New Roman"/>
          <w:sz w:val="24"/>
          <w:szCs w:val="24"/>
        </w:rPr>
        <w:tab/>
      </w:r>
    </w:p>
    <w:p w:rsidR="003C2B01" w:rsidRDefault="007D3A54" w:rsidP="005844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8</w:t>
      </w:r>
      <w:r w:rsidR="003C2B01">
        <w:rPr>
          <w:rFonts w:ascii="Times New Roman" w:hAnsi="Times New Roman" w:cs="Times New Roman"/>
          <w:b/>
          <w:sz w:val="24"/>
          <w:szCs w:val="24"/>
        </w:rPr>
        <w:t>.  Job Growth Rates (% Change) in N</w:t>
      </w:r>
      <w:r w:rsidR="006E32FD">
        <w:rPr>
          <w:rFonts w:ascii="Times New Roman" w:hAnsi="Times New Roman" w:cs="Times New Roman"/>
          <w:b/>
          <w:sz w:val="24"/>
          <w:szCs w:val="24"/>
        </w:rPr>
        <w:t>orth Carolina Regions, 2018</w:t>
      </w:r>
      <w:r w:rsidR="003C2B01">
        <w:rPr>
          <w:rFonts w:ascii="Times New Roman" w:hAnsi="Times New Roman" w:cs="Times New Roman"/>
          <w:b/>
          <w:sz w:val="24"/>
          <w:szCs w:val="24"/>
        </w:rPr>
        <w:t>.</w:t>
      </w:r>
    </w:p>
    <w:p w:rsidR="003C2B01" w:rsidRDefault="003C2B01" w:rsidP="00584469">
      <w:pPr>
        <w:spacing w:line="240" w:lineRule="auto"/>
        <w:rPr>
          <w:rFonts w:ascii="Times New Roman" w:hAnsi="Times New Roman" w:cs="Times New Roman"/>
          <w:b/>
          <w:sz w:val="24"/>
          <w:szCs w:val="24"/>
        </w:rPr>
      </w:pPr>
      <w:r w:rsidRPr="003C2B01">
        <w:rPr>
          <w:rFonts w:ascii="Times New Roman" w:hAnsi="Times New Roman" w:cs="Times New Roman"/>
          <w:b/>
          <w:noProof/>
          <w:sz w:val="24"/>
          <w:szCs w:val="24"/>
        </w:rPr>
        <w:drawing>
          <wp:inline distT="0" distB="0" distL="0" distR="0" wp14:anchorId="0689AEF0" wp14:editId="42A8D863">
            <wp:extent cx="6102350" cy="4104861"/>
            <wp:effectExtent l="0" t="0" r="635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0024" w:rsidRDefault="00093353" w:rsidP="00E72D55">
      <w:pPr>
        <w:spacing w:line="240" w:lineRule="auto"/>
        <w:rPr>
          <w:rFonts w:cs="Times New Roman"/>
          <w:sz w:val="20"/>
          <w:szCs w:val="20"/>
        </w:rPr>
      </w:pPr>
      <w:r w:rsidRPr="002C585C">
        <w:rPr>
          <w:rFonts w:cs="Times New Roman"/>
          <w:sz w:val="20"/>
          <w:szCs w:val="20"/>
        </w:rPr>
        <w:t>Source:  U.S. Bureau of Labor S</w:t>
      </w:r>
      <w:r w:rsidR="00364E3D">
        <w:rPr>
          <w:rFonts w:cs="Times New Roman"/>
          <w:sz w:val="20"/>
          <w:szCs w:val="20"/>
        </w:rPr>
        <w:t>tatistics, based on seasonal</w:t>
      </w:r>
      <w:r w:rsidR="00E72234">
        <w:rPr>
          <w:rFonts w:cs="Times New Roman"/>
          <w:sz w:val="20"/>
          <w:szCs w:val="20"/>
        </w:rPr>
        <w:t>ly-adjusted non-farm employment</w:t>
      </w:r>
      <w:r w:rsidR="00364E3D">
        <w:rPr>
          <w:rFonts w:cs="Times New Roman"/>
          <w:sz w:val="20"/>
          <w:szCs w:val="20"/>
        </w:rPr>
        <w:t xml:space="preserve"> and annualized from data for the first half of 2018. </w:t>
      </w:r>
      <w:r w:rsidR="00E72234">
        <w:rPr>
          <w:rFonts w:cs="Times New Roman"/>
          <w:sz w:val="20"/>
          <w:szCs w:val="20"/>
        </w:rPr>
        <w:t xml:space="preserve"> Rural </w:t>
      </w:r>
      <w:r w:rsidR="002C585C">
        <w:rPr>
          <w:rFonts w:cs="Times New Roman"/>
          <w:sz w:val="20"/>
          <w:szCs w:val="20"/>
        </w:rPr>
        <w:t>include</w:t>
      </w:r>
      <w:r w:rsidR="00B30BD1">
        <w:rPr>
          <w:rFonts w:cs="Times New Roman"/>
          <w:sz w:val="20"/>
          <w:szCs w:val="20"/>
        </w:rPr>
        <w:t>s</w:t>
      </w:r>
      <w:r w:rsidR="002C585C">
        <w:rPr>
          <w:rFonts w:cs="Times New Roman"/>
          <w:sz w:val="20"/>
          <w:szCs w:val="20"/>
        </w:rPr>
        <w:t xml:space="preserve"> counties outside the liste</w:t>
      </w:r>
      <w:r w:rsidR="00B30BD1">
        <w:rPr>
          <w:rFonts w:cs="Times New Roman"/>
          <w:sz w:val="20"/>
          <w:szCs w:val="20"/>
        </w:rPr>
        <w:t xml:space="preserve">d metropolitan </w:t>
      </w:r>
      <w:r w:rsidR="002C585C">
        <w:rPr>
          <w:rFonts w:cs="Times New Roman"/>
          <w:sz w:val="20"/>
          <w:szCs w:val="20"/>
        </w:rPr>
        <w:t xml:space="preserve">areas.   </w:t>
      </w:r>
    </w:p>
    <w:p w:rsidR="004073F8" w:rsidRDefault="004073F8" w:rsidP="00E72D55">
      <w:pPr>
        <w:spacing w:line="240" w:lineRule="auto"/>
        <w:rPr>
          <w:rFonts w:cs="Times New Roman"/>
          <w:sz w:val="20"/>
          <w:szCs w:val="20"/>
        </w:rPr>
      </w:pPr>
    </w:p>
    <w:p w:rsidR="00174D1B" w:rsidRDefault="00174D1B" w:rsidP="00E72D55">
      <w:pPr>
        <w:spacing w:line="240" w:lineRule="auto"/>
        <w:rPr>
          <w:rFonts w:ascii="Times New Roman" w:hAnsi="Times New Roman" w:cs="Times New Roman"/>
          <w:sz w:val="24"/>
          <w:szCs w:val="24"/>
        </w:rPr>
      </w:pPr>
      <w:r>
        <w:rPr>
          <w:rFonts w:ascii="Times New Roman" w:hAnsi="Times New Roman" w:cs="Times New Roman"/>
          <w:sz w:val="24"/>
          <w:szCs w:val="24"/>
        </w:rPr>
        <w:t>as a result of the tighter labo</w:t>
      </w:r>
      <w:r w:rsidR="00BC63B5">
        <w:rPr>
          <w:rFonts w:ascii="Times New Roman" w:hAnsi="Times New Roman" w:cs="Times New Roman"/>
          <w:sz w:val="24"/>
          <w:szCs w:val="24"/>
        </w:rPr>
        <w:t>r markets in the big urban regions</w:t>
      </w:r>
      <w:r>
        <w:rPr>
          <w:rFonts w:ascii="Times New Roman" w:hAnsi="Times New Roman" w:cs="Times New Roman"/>
          <w:sz w:val="24"/>
          <w:szCs w:val="24"/>
        </w:rPr>
        <w:t>.</w:t>
      </w:r>
      <w:r w:rsidR="002421E2">
        <w:rPr>
          <w:rFonts w:ascii="Times New Roman" w:hAnsi="Times New Roman" w:cs="Times New Roman"/>
          <w:sz w:val="24"/>
          <w:szCs w:val="24"/>
        </w:rPr>
        <w:t xml:space="preserve">  Indeed, from June 2017 to June 2018, 70% of the counties with the highest job growth (2% annual rate or above) were rural counties, compared to only 16% for the period June 2010 to June 2017.</w:t>
      </w:r>
    </w:p>
    <w:p w:rsidR="004073F8" w:rsidRDefault="004073F8" w:rsidP="00174D1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Figure 9 </w:t>
      </w:r>
      <w:r w:rsidR="00174D1B">
        <w:rPr>
          <w:rFonts w:ascii="Times New Roman" w:hAnsi="Times New Roman" w:cs="Times New Roman"/>
          <w:sz w:val="24"/>
          <w:szCs w:val="24"/>
        </w:rPr>
        <w:t xml:space="preserve">reinforces these points.   Although job growth rates in all the geographical categories are trending to substantial increases in 2018, the biggest jumps are in the small metros and rural (or non-metro) categories.  </w:t>
      </w:r>
      <w:r w:rsidR="002421E2">
        <w:rPr>
          <w:rFonts w:ascii="Times New Roman" w:hAnsi="Times New Roman" w:cs="Times New Roman"/>
          <w:sz w:val="24"/>
          <w:szCs w:val="24"/>
        </w:rPr>
        <w:t xml:space="preserve">  </w:t>
      </w:r>
    </w:p>
    <w:p w:rsidR="00A31D49" w:rsidRDefault="00A31D49" w:rsidP="00E72D55">
      <w:pPr>
        <w:spacing w:line="240" w:lineRule="auto"/>
        <w:rPr>
          <w:rFonts w:ascii="Times New Roman" w:hAnsi="Times New Roman" w:cs="Times New Roman"/>
          <w:sz w:val="24"/>
          <w:szCs w:val="24"/>
        </w:rPr>
      </w:pPr>
    </w:p>
    <w:p w:rsidR="00A31D49" w:rsidRDefault="00A31D49" w:rsidP="00E72D55">
      <w:pPr>
        <w:spacing w:line="240" w:lineRule="auto"/>
        <w:rPr>
          <w:rFonts w:ascii="Times New Roman" w:hAnsi="Times New Roman" w:cs="Times New Roman"/>
          <w:b/>
          <w:sz w:val="24"/>
          <w:szCs w:val="24"/>
        </w:rPr>
      </w:pPr>
      <w:r>
        <w:rPr>
          <w:rFonts w:ascii="Times New Roman" w:hAnsi="Times New Roman" w:cs="Times New Roman"/>
          <w:b/>
          <w:sz w:val="24"/>
          <w:szCs w:val="24"/>
        </w:rPr>
        <w:t>Forecasts</w:t>
      </w:r>
    </w:p>
    <w:p w:rsidR="00AC5F65" w:rsidRDefault="00A31D49" w:rsidP="00A31D49">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NCSU Index of North Carolina Leadi</w:t>
      </w:r>
      <w:r w:rsidR="00AC5F65">
        <w:rPr>
          <w:rFonts w:ascii="Times New Roman" w:hAnsi="Times New Roman" w:cs="Times New Roman"/>
          <w:sz w:val="24"/>
          <w:szCs w:val="24"/>
        </w:rPr>
        <w:t>ng Economic Indicators (Figure 10</w:t>
      </w:r>
      <w:r>
        <w:rPr>
          <w:rFonts w:ascii="Times New Roman" w:hAnsi="Times New Roman" w:cs="Times New Roman"/>
          <w:sz w:val="24"/>
          <w:szCs w:val="24"/>
        </w:rPr>
        <w:t>) has followed a modest upward trend since late 2015, suggesting gradual improvement in econ</w:t>
      </w:r>
      <w:r w:rsidR="00AC5F65">
        <w:rPr>
          <w:rFonts w:ascii="Times New Roman" w:hAnsi="Times New Roman" w:cs="Times New Roman"/>
          <w:sz w:val="24"/>
          <w:szCs w:val="24"/>
        </w:rPr>
        <w:t>omic grow</w:t>
      </w:r>
      <w:r w:rsidR="00302FE0">
        <w:rPr>
          <w:rFonts w:ascii="Times New Roman" w:hAnsi="Times New Roman" w:cs="Times New Roman"/>
          <w:sz w:val="24"/>
          <w:szCs w:val="24"/>
        </w:rPr>
        <w:t>th for the remain</w:t>
      </w:r>
      <w:r w:rsidR="0002430A">
        <w:rPr>
          <w:rFonts w:ascii="Times New Roman" w:hAnsi="Times New Roman" w:cs="Times New Roman"/>
          <w:sz w:val="24"/>
          <w:szCs w:val="24"/>
        </w:rPr>
        <w:t>der of 2018 and into early 2019</w:t>
      </w:r>
      <w:r>
        <w:rPr>
          <w:rFonts w:ascii="Times New Roman" w:hAnsi="Times New Roman" w:cs="Times New Roman"/>
          <w:sz w:val="24"/>
          <w:szCs w:val="24"/>
        </w:rPr>
        <w:t xml:space="preserve">.  </w:t>
      </w:r>
      <w:r w:rsidR="00AC5F65">
        <w:rPr>
          <w:rFonts w:ascii="Times New Roman" w:hAnsi="Times New Roman" w:cs="Times New Roman"/>
          <w:sz w:val="24"/>
          <w:szCs w:val="24"/>
        </w:rPr>
        <w:t>Importantly, there is no indication of a downward trend in the Index, thus suggesting no occurrence of a recession in the immediate future.  As Figure 10 shows, the Index was successful in predicting the 2007-2009 Great Recession by over a six-month lead.</w:t>
      </w:r>
    </w:p>
    <w:p w:rsidR="004073F8" w:rsidRPr="004073F8" w:rsidRDefault="004073F8" w:rsidP="00E72D5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Figure 9.  Annualized Payroll Job Growth Rates in North Carolina Regions Classified by Size, 2017 and 2009-2016.</w:t>
      </w:r>
    </w:p>
    <w:p w:rsidR="00780024" w:rsidRDefault="007D3A54" w:rsidP="00E72D55">
      <w:pPr>
        <w:spacing w:line="240" w:lineRule="auto"/>
        <w:rPr>
          <w:rFonts w:ascii="Times New Roman" w:hAnsi="Times New Roman" w:cs="Times New Roman"/>
          <w:sz w:val="24"/>
          <w:szCs w:val="24"/>
        </w:rPr>
      </w:pPr>
      <w:r w:rsidRPr="007D3A54">
        <w:rPr>
          <w:rFonts w:ascii="Times New Roman" w:hAnsi="Times New Roman" w:cs="Times New Roman"/>
          <w:noProof/>
          <w:sz w:val="24"/>
          <w:szCs w:val="24"/>
        </w:rPr>
        <w:drawing>
          <wp:inline distT="0" distB="0" distL="0" distR="0" wp14:anchorId="6E186971" wp14:editId="4264A56B">
            <wp:extent cx="5943600" cy="2872740"/>
            <wp:effectExtent l="0" t="0" r="12700" b="101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2D55" w:rsidRDefault="00AC5F65" w:rsidP="00584469">
      <w:pPr>
        <w:spacing w:line="240" w:lineRule="auto"/>
        <w:rPr>
          <w:rFonts w:ascii="Times New Roman" w:hAnsi="Times New Roman" w:cs="Times New Roman"/>
          <w:sz w:val="24"/>
          <w:szCs w:val="24"/>
        </w:rPr>
      </w:pPr>
      <w:r>
        <w:rPr>
          <w:rFonts w:ascii="Times New Roman" w:hAnsi="Times New Roman" w:cs="Times New Roman"/>
          <w:sz w:val="20"/>
          <w:szCs w:val="20"/>
        </w:rPr>
        <w:t>Source: U.S. Bureau of Labor Statistics</w:t>
      </w:r>
      <w:r w:rsidR="00BC63B5">
        <w:rPr>
          <w:rFonts w:ascii="Times New Roman" w:hAnsi="Times New Roman" w:cs="Times New Roman"/>
          <w:sz w:val="20"/>
          <w:szCs w:val="20"/>
        </w:rPr>
        <w:t>.</w:t>
      </w:r>
      <w:r w:rsidR="004073F8">
        <w:rPr>
          <w:rFonts w:ascii="Times New Roman" w:hAnsi="Times New Roman" w:cs="Times New Roman"/>
          <w:sz w:val="20"/>
          <w:szCs w:val="20"/>
        </w:rPr>
        <w:t xml:space="preserve"> </w:t>
      </w:r>
      <w:r w:rsidR="0002430A">
        <w:rPr>
          <w:rFonts w:ascii="Times New Roman" w:hAnsi="Times New Roman" w:cs="Times New Roman"/>
          <w:sz w:val="20"/>
          <w:szCs w:val="20"/>
          <w:vertAlign w:val="superscript"/>
        </w:rPr>
        <w:t xml:space="preserve"> </w:t>
      </w:r>
      <w:r w:rsidR="00BC63B5">
        <w:rPr>
          <w:rFonts w:ascii="Times New Roman" w:hAnsi="Times New Roman" w:cs="Times New Roman"/>
          <w:sz w:val="20"/>
          <w:szCs w:val="20"/>
        </w:rPr>
        <w:t>L</w:t>
      </w:r>
      <w:r w:rsidR="004073F8">
        <w:rPr>
          <w:rFonts w:ascii="Times New Roman" w:hAnsi="Times New Roman" w:cs="Times New Roman"/>
          <w:sz w:val="20"/>
          <w:szCs w:val="20"/>
        </w:rPr>
        <w:t>arge metros are Charlotte, Durham-Chapel Hill, Greensboro, Raleigh, and Winston-Salem; medium metros include Asheville, Burlington, Fayetteville, Greenville, Hickory, and Wilmington; small metros are composed of Goldsboro, Jacksonville, New Bern,</w:t>
      </w:r>
      <w:r w:rsidR="00BC63B5">
        <w:rPr>
          <w:rFonts w:ascii="Times New Roman" w:hAnsi="Times New Roman" w:cs="Times New Roman"/>
          <w:sz w:val="20"/>
          <w:szCs w:val="20"/>
        </w:rPr>
        <w:t xml:space="preserve"> and Rocky Mount; and rural areas</w:t>
      </w:r>
      <w:r w:rsidR="004073F8">
        <w:rPr>
          <w:rFonts w:ascii="Times New Roman" w:hAnsi="Times New Roman" w:cs="Times New Roman"/>
          <w:sz w:val="20"/>
          <w:szCs w:val="20"/>
        </w:rPr>
        <w:t xml:space="preserve"> are counties not included in the large, me</w:t>
      </w:r>
      <w:r w:rsidR="0074228A">
        <w:rPr>
          <w:rFonts w:ascii="Times New Roman" w:hAnsi="Times New Roman" w:cs="Times New Roman"/>
          <w:sz w:val="20"/>
          <w:szCs w:val="20"/>
        </w:rPr>
        <w:t>dium, and small metro categories. Rates for 2018 are annualized based on data for first half of the year.</w:t>
      </w:r>
    </w:p>
    <w:p w:rsidR="00A31D49" w:rsidRDefault="00A31D49" w:rsidP="00584469">
      <w:pPr>
        <w:spacing w:line="240" w:lineRule="auto"/>
        <w:rPr>
          <w:rFonts w:ascii="Times New Roman" w:hAnsi="Times New Roman" w:cs="Times New Roman"/>
          <w:sz w:val="20"/>
          <w:szCs w:val="20"/>
        </w:rPr>
      </w:pPr>
    </w:p>
    <w:p w:rsidR="00302FE0" w:rsidRPr="00A31D49" w:rsidRDefault="00302FE0" w:rsidP="00584469">
      <w:pPr>
        <w:spacing w:line="240" w:lineRule="auto"/>
        <w:rPr>
          <w:rFonts w:ascii="Times New Roman" w:hAnsi="Times New Roman" w:cs="Times New Roman"/>
          <w:sz w:val="20"/>
          <w:szCs w:val="20"/>
        </w:rPr>
      </w:pPr>
    </w:p>
    <w:p w:rsidR="006B7BA7" w:rsidRPr="0060778A" w:rsidRDefault="00A31D49" w:rsidP="00584469">
      <w:pPr>
        <w:spacing w:line="240" w:lineRule="auto"/>
        <w:rPr>
          <w:rFonts w:ascii="Times New Roman" w:hAnsi="Times New Roman" w:cs="Times New Roman"/>
          <w:b/>
          <w:sz w:val="24"/>
          <w:szCs w:val="24"/>
        </w:rPr>
      </w:pPr>
      <w:r>
        <w:rPr>
          <w:rFonts w:ascii="Times New Roman" w:hAnsi="Times New Roman" w:cs="Times New Roman"/>
          <w:b/>
          <w:sz w:val="24"/>
          <w:szCs w:val="24"/>
        </w:rPr>
        <w:t>Figure 10</w:t>
      </w:r>
      <w:r w:rsidR="0060778A">
        <w:rPr>
          <w:rFonts w:ascii="Times New Roman" w:hAnsi="Times New Roman" w:cs="Times New Roman"/>
          <w:b/>
          <w:sz w:val="24"/>
          <w:szCs w:val="24"/>
        </w:rPr>
        <w:t xml:space="preserve">.  </w:t>
      </w:r>
      <w:r w:rsidR="00194D2D">
        <w:rPr>
          <w:rFonts w:ascii="Times New Roman" w:hAnsi="Times New Roman" w:cs="Times New Roman"/>
          <w:b/>
          <w:sz w:val="24"/>
          <w:szCs w:val="24"/>
        </w:rPr>
        <w:t>NCSU Index of North Carolina Leading Economic Indicators</w:t>
      </w:r>
    </w:p>
    <w:p w:rsidR="001C5211" w:rsidRDefault="00F94EA6" w:rsidP="000C384D">
      <w:pPr>
        <w:spacing w:line="240" w:lineRule="auto"/>
        <w:rPr>
          <w:rFonts w:ascii="Times New Roman" w:hAnsi="Times New Roman" w:cs="Times New Roman"/>
          <w:sz w:val="24"/>
          <w:szCs w:val="24"/>
        </w:rPr>
      </w:pPr>
      <w:r w:rsidRPr="000C6176">
        <w:rPr>
          <w:rFonts w:ascii="Times New Roman" w:hAnsi="Times New Roman" w:cs="Times New Roman"/>
          <w:noProof/>
        </w:rPr>
        <w:drawing>
          <wp:inline distT="0" distB="0" distL="0" distR="0" wp14:anchorId="1C3DABD6" wp14:editId="04F5FE39">
            <wp:extent cx="5943600" cy="2350827"/>
            <wp:effectExtent l="19050" t="19050" r="19050" b="1143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5211" w:rsidRDefault="001C5211" w:rsidP="001D4BA4">
      <w:pPr>
        <w:spacing w:line="240" w:lineRule="auto"/>
        <w:rPr>
          <w:rFonts w:ascii="Times New Roman" w:hAnsi="Times New Roman" w:cs="Times New Roman"/>
          <w:sz w:val="24"/>
          <w:szCs w:val="24"/>
        </w:rPr>
      </w:pPr>
    </w:p>
    <w:p w:rsidR="00302FE0" w:rsidRDefault="00302FE0" w:rsidP="001D4BA4">
      <w:pPr>
        <w:spacing w:line="240" w:lineRule="auto"/>
        <w:rPr>
          <w:rFonts w:ascii="Times New Roman" w:hAnsi="Times New Roman" w:cs="Times New Roman"/>
          <w:sz w:val="24"/>
          <w:szCs w:val="24"/>
        </w:rPr>
      </w:pPr>
    </w:p>
    <w:p w:rsidR="00302FE0" w:rsidRDefault="00302FE0" w:rsidP="001D4BA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The national economy is always a key driver of state economies.   Although</w:t>
      </w:r>
      <w:r w:rsidR="0002430A">
        <w:rPr>
          <w:rFonts w:ascii="Times New Roman" w:hAnsi="Times New Roman" w:cs="Times New Roman"/>
          <w:sz w:val="24"/>
          <w:szCs w:val="24"/>
        </w:rPr>
        <w:t xml:space="preserve"> there are many questions and issues related to </w:t>
      </w:r>
      <w:r>
        <w:rPr>
          <w:rFonts w:ascii="Times New Roman" w:hAnsi="Times New Roman" w:cs="Times New Roman"/>
          <w:sz w:val="24"/>
          <w:szCs w:val="24"/>
        </w:rPr>
        <w:t xml:space="preserve">the national economy – trade negotiations, the Federal Reserve’s interest rate policies, international tensions, and the future composition of the Congress – most economists do see continued economic growth for the remainder of 2018 and in </w:t>
      </w:r>
      <w:r w:rsidR="0002430A">
        <w:rPr>
          <w:rFonts w:ascii="Times New Roman" w:hAnsi="Times New Roman" w:cs="Times New Roman"/>
          <w:sz w:val="24"/>
          <w:szCs w:val="24"/>
        </w:rPr>
        <w:t xml:space="preserve">to </w:t>
      </w:r>
      <w:r>
        <w:rPr>
          <w:rFonts w:ascii="Times New Roman" w:hAnsi="Times New Roman" w:cs="Times New Roman"/>
          <w:sz w:val="24"/>
          <w:szCs w:val="24"/>
        </w:rPr>
        <w:t xml:space="preserve">2019.  </w:t>
      </w:r>
      <w:r w:rsidR="00B605C5">
        <w:rPr>
          <w:rFonts w:ascii="Times New Roman" w:hAnsi="Times New Roman" w:cs="Times New Roman"/>
          <w:sz w:val="24"/>
          <w:szCs w:val="24"/>
        </w:rPr>
        <w:t>The consensus seems to be a recession – if it occurs – will not arrive until 2020.</w:t>
      </w:r>
    </w:p>
    <w:p w:rsidR="001C5211" w:rsidRPr="00481E30" w:rsidRDefault="00B605C5" w:rsidP="001D4BA4">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I forecast </w:t>
      </w:r>
      <w:r w:rsidR="001C5211" w:rsidRPr="00481E30">
        <w:rPr>
          <w:rFonts w:ascii="Times New Roman" w:hAnsi="Times New Roman" w:cs="Times New Roman"/>
          <w:b/>
          <w:sz w:val="24"/>
          <w:szCs w:val="24"/>
        </w:rPr>
        <w:t>North Caroli</w:t>
      </w:r>
      <w:r>
        <w:rPr>
          <w:rFonts w:ascii="Times New Roman" w:hAnsi="Times New Roman" w:cs="Times New Roman"/>
          <w:b/>
          <w:sz w:val="24"/>
          <w:szCs w:val="24"/>
        </w:rPr>
        <w:t>na real GDP will increase by 3.2% in 2018 and by 3.4% in 2019.  Payroll job growth will be 1.7% in both 2018 and 2019, resulting in approximat</w:t>
      </w:r>
      <w:r w:rsidR="0002430A">
        <w:rPr>
          <w:rFonts w:ascii="Times New Roman" w:hAnsi="Times New Roman" w:cs="Times New Roman"/>
          <w:b/>
          <w:sz w:val="24"/>
          <w:szCs w:val="24"/>
        </w:rPr>
        <w:t xml:space="preserve">ely 75,000 net new jobs in each of the </w:t>
      </w:r>
      <w:r>
        <w:rPr>
          <w:rFonts w:ascii="Times New Roman" w:hAnsi="Times New Roman" w:cs="Times New Roman"/>
          <w:b/>
          <w:sz w:val="24"/>
          <w:szCs w:val="24"/>
        </w:rPr>
        <w:t>years.</w:t>
      </w:r>
      <w:r w:rsidR="001C5211" w:rsidRPr="00481E30">
        <w:rPr>
          <w:rFonts w:ascii="Times New Roman" w:hAnsi="Times New Roman" w:cs="Times New Roman"/>
          <w:b/>
          <w:sz w:val="24"/>
          <w:szCs w:val="24"/>
        </w:rPr>
        <w:t xml:space="preserve">  </w:t>
      </w:r>
    </w:p>
    <w:p w:rsidR="001C5211" w:rsidRDefault="001C5211" w:rsidP="001D4BA4">
      <w:pPr>
        <w:spacing w:line="240" w:lineRule="auto"/>
        <w:rPr>
          <w:rFonts w:ascii="Times New Roman" w:hAnsi="Times New Roman" w:cs="Times New Roman"/>
          <w:sz w:val="24"/>
          <w:szCs w:val="24"/>
        </w:rPr>
      </w:pPr>
      <w:r>
        <w:rPr>
          <w:rFonts w:ascii="Times New Roman" w:hAnsi="Times New Roman" w:cs="Times New Roman"/>
          <w:sz w:val="24"/>
          <w:szCs w:val="24"/>
        </w:rPr>
        <w:tab/>
        <w:t>Predicting the most-used un</w:t>
      </w:r>
      <w:r w:rsidR="00E2345B">
        <w:rPr>
          <w:rFonts w:ascii="Times New Roman" w:hAnsi="Times New Roman" w:cs="Times New Roman"/>
          <w:sz w:val="24"/>
          <w:szCs w:val="24"/>
        </w:rPr>
        <w:t xml:space="preserve">employment rate – the </w:t>
      </w:r>
      <w:r w:rsidR="0002430A">
        <w:rPr>
          <w:rFonts w:ascii="Times New Roman" w:hAnsi="Times New Roman" w:cs="Times New Roman"/>
          <w:sz w:val="24"/>
          <w:szCs w:val="24"/>
        </w:rPr>
        <w:t xml:space="preserve">“headline rate” - is </w:t>
      </w:r>
      <w:r>
        <w:rPr>
          <w:rFonts w:ascii="Times New Roman" w:hAnsi="Times New Roman" w:cs="Times New Roman"/>
          <w:sz w:val="24"/>
          <w:szCs w:val="24"/>
        </w:rPr>
        <w:t>difficult.  The rate will drop as more jobs are added and nothing else changes.  But if some ind</w:t>
      </w:r>
      <w:r w:rsidR="0002430A">
        <w:rPr>
          <w:rFonts w:ascii="Times New Roman" w:hAnsi="Times New Roman" w:cs="Times New Roman"/>
          <w:sz w:val="24"/>
          <w:szCs w:val="24"/>
        </w:rPr>
        <w:t xml:space="preserve">ividuals who had left </w:t>
      </w:r>
      <w:r>
        <w:rPr>
          <w:rFonts w:ascii="Times New Roman" w:hAnsi="Times New Roman" w:cs="Times New Roman"/>
          <w:sz w:val="24"/>
          <w:szCs w:val="24"/>
        </w:rPr>
        <w:t>the labor force because they could not find work – and therefore are not officially counted as unemployed – resume looking for work as labor market conditions improve, the jobless rate</w:t>
      </w:r>
      <w:r w:rsidR="0002430A">
        <w:rPr>
          <w:rFonts w:ascii="Times New Roman" w:hAnsi="Times New Roman" w:cs="Times New Roman"/>
          <w:sz w:val="24"/>
          <w:szCs w:val="24"/>
        </w:rPr>
        <w:t xml:space="preserve"> can remain the same, or even</w:t>
      </w:r>
      <w:r>
        <w:rPr>
          <w:rFonts w:ascii="Times New Roman" w:hAnsi="Times New Roman" w:cs="Times New Roman"/>
          <w:sz w:val="24"/>
          <w:szCs w:val="24"/>
        </w:rPr>
        <w:t xml:space="preserve"> rise, as jobs increase.</w:t>
      </w:r>
    </w:p>
    <w:p w:rsidR="00034124" w:rsidRPr="00034124" w:rsidRDefault="00034124" w:rsidP="00E2345B">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The “headline</w:t>
      </w:r>
      <w:r w:rsidR="0002430A">
        <w:rPr>
          <w:rFonts w:ascii="Times New Roman" w:hAnsi="Times New Roman" w:cs="Times New Roman"/>
          <w:sz w:val="24"/>
          <w:szCs w:val="24"/>
        </w:rPr>
        <w:t>” unemployment rate is challenging</w:t>
      </w:r>
      <w:r>
        <w:rPr>
          <w:rFonts w:ascii="Times New Roman" w:hAnsi="Times New Roman" w:cs="Times New Roman"/>
          <w:sz w:val="24"/>
          <w:szCs w:val="24"/>
        </w:rPr>
        <w:t xml:space="preserve"> to predict because it is based on more than simply job growth.     Also important are the number of new individuals moving to the state, the number of people choosing to be in the labor force, and the number who actively seek work.  Still, with labor market conditions expected to improve for both the rest of 2018 as well as 2019, </w:t>
      </w:r>
      <w:r w:rsidRPr="0002430A">
        <w:rPr>
          <w:rFonts w:ascii="Times New Roman" w:hAnsi="Times New Roman" w:cs="Times New Roman"/>
          <w:sz w:val="24"/>
          <w:szCs w:val="24"/>
        </w:rPr>
        <w:t>I anticipate</w:t>
      </w:r>
      <w:r w:rsidRPr="00034124">
        <w:rPr>
          <w:rFonts w:ascii="Times New Roman" w:hAnsi="Times New Roman" w:cs="Times New Roman"/>
          <w:b/>
          <w:sz w:val="24"/>
          <w:szCs w:val="24"/>
        </w:rPr>
        <w:t xml:space="preserve"> a year-end “headline” jobless rate in North Carolina of 4.1% at the end of 2018 and 3.8% at the end of 2019.</w:t>
      </w:r>
    </w:p>
    <w:p w:rsidR="00481E30" w:rsidRDefault="00E2345B" w:rsidP="00E2345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Regional </w:t>
      </w:r>
      <w:r w:rsidR="0002430A">
        <w:rPr>
          <w:rFonts w:ascii="Times New Roman" w:hAnsi="Times New Roman" w:cs="Times New Roman"/>
          <w:sz w:val="24"/>
          <w:szCs w:val="24"/>
        </w:rPr>
        <w:t xml:space="preserve">“headline” </w:t>
      </w:r>
      <w:r>
        <w:rPr>
          <w:rFonts w:ascii="Times New Roman" w:hAnsi="Times New Roman" w:cs="Times New Roman"/>
          <w:sz w:val="24"/>
          <w:szCs w:val="24"/>
        </w:rPr>
        <w:t>unemployment rate forecasts</w:t>
      </w:r>
      <w:r w:rsidR="003A5116">
        <w:rPr>
          <w:rFonts w:ascii="Times New Roman" w:hAnsi="Times New Roman" w:cs="Times New Roman"/>
          <w:sz w:val="24"/>
          <w:szCs w:val="24"/>
        </w:rPr>
        <w:t xml:space="preserve"> </w:t>
      </w:r>
      <w:r w:rsidR="00034124">
        <w:rPr>
          <w:rFonts w:ascii="Times New Roman" w:hAnsi="Times New Roman" w:cs="Times New Roman"/>
          <w:sz w:val="24"/>
          <w:szCs w:val="24"/>
        </w:rPr>
        <w:t xml:space="preserve">for the state’s key metropolitan areas </w:t>
      </w:r>
      <w:r w:rsidR="003A5116">
        <w:rPr>
          <w:rFonts w:ascii="Times New Roman" w:hAnsi="Times New Roman" w:cs="Times New Roman"/>
          <w:sz w:val="24"/>
          <w:szCs w:val="24"/>
        </w:rPr>
        <w:t>are presented in Table 1.</w:t>
      </w:r>
      <w:r>
        <w:rPr>
          <w:rFonts w:ascii="Times New Roman" w:hAnsi="Times New Roman" w:cs="Times New Roman"/>
          <w:sz w:val="24"/>
          <w:szCs w:val="24"/>
        </w:rPr>
        <w:t xml:space="preserve">  Asheville, Durham, and Raleigh are predicted to have the lowest e</w:t>
      </w:r>
      <w:r w:rsidR="00034124">
        <w:rPr>
          <w:rFonts w:ascii="Times New Roman" w:hAnsi="Times New Roman" w:cs="Times New Roman"/>
          <w:sz w:val="24"/>
          <w:szCs w:val="24"/>
        </w:rPr>
        <w:t xml:space="preserve">nd-of-year jobless rates in 2019, at between 3% and 3.5%.  Fayetteville, Rocky Mount, and </w:t>
      </w:r>
      <w:r w:rsidR="00354BD5">
        <w:rPr>
          <w:rFonts w:ascii="Times New Roman" w:hAnsi="Times New Roman" w:cs="Times New Roman"/>
          <w:sz w:val="24"/>
          <w:szCs w:val="24"/>
        </w:rPr>
        <w:t>Greenville will have the highest rates.</w:t>
      </w:r>
    </w:p>
    <w:p w:rsidR="00C8630F" w:rsidRDefault="00354BD5" w:rsidP="001D4BA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With economic growth continuing over the next 18 months, the </w:t>
      </w:r>
      <w:r w:rsidR="0002430A">
        <w:rPr>
          <w:rFonts w:ascii="Times New Roman" w:hAnsi="Times New Roman" w:cs="Times New Roman"/>
          <w:sz w:val="24"/>
          <w:szCs w:val="24"/>
        </w:rPr>
        <w:t xml:space="preserve">economic geographic </w:t>
      </w:r>
      <w:r>
        <w:rPr>
          <w:rFonts w:ascii="Times New Roman" w:hAnsi="Times New Roman" w:cs="Times New Roman"/>
          <w:sz w:val="24"/>
          <w:szCs w:val="24"/>
        </w:rPr>
        <w:t xml:space="preserve">divide should continue to lessen somewhat, as firms search for more economic opportunities and labor availability outside of the large metropolitan regions.   The status of the </w:t>
      </w:r>
      <w:r w:rsidR="0002430A">
        <w:rPr>
          <w:rFonts w:ascii="Times New Roman" w:hAnsi="Times New Roman" w:cs="Times New Roman"/>
          <w:sz w:val="24"/>
          <w:szCs w:val="24"/>
        </w:rPr>
        <w:t xml:space="preserve">economic </w:t>
      </w:r>
      <w:r>
        <w:rPr>
          <w:rFonts w:ascii="Times New Roman" w:hAnsi="Times New Roman" w:cs="Times New Roman"/>
          <w:sz w:val="24"/>
          <w:szCs w:val="24"/>
        </w:rPr>
        <w:t>occupational divide will depend importantly on advances in technology.   There have been significant gains in middle-paying construction and manufacturing jobs in recent years.  Much of this is tied to rebounds in economic activity in those sectors.   But both job categories – especially manufacturing – are susceptible to technology substituting for labor.   This potential will largely determine the workforce trends in middle-paying occupations.</w:t>
      </w:r>
    </w:p>
    <w:p w:rsidR="00354BD5" w:rsidRDefault="00354BD5" w:rsidP="001D4BA4">
      <w:pPr>
        <w:spacing w:line="240" w:lineRule="auto"/>
        <w:rPr>
          <w:rFonts w:ascii="Times New Roman" w:hAnsi="Times New Roman" w:cs="Times New Roman"/>
          <w:sz w:val="24"/>
          <w:szCs w:val="24"/>
        </w:rPr>
      </w:pPr>
      <w:r>
        <w:rPr>
          <w:rFonts w:ascii="Times New Roman" w:hAnsi="Times New Roman" w:cs="Times New Roman"/>
          <w:sz w:val="24"/>
          <w:szCs w:val="24"/>
        </w:rPr>
        <w:tab/>
      </w:r>
      <w:r w:rsidR="0002430A">
        <w:rPr>
          <w:rFonts w:ascii="Times New Roman" w:hAnsi="Times New Roman" w:cs="Times New Roman"/>
          <w:sz w:val="24"/>
          <w:szCs w:val="24"/>
        </w:rPr>
        <w:t>In terms of the signs to follow</w:t>
      </w:r>
      <w:r w:rsidR="004A4AA9">
        <w:rPr>
          <w:rFonts w:ascii="Times New Roman" w:hAnsi="Times New Roman" w:cs="Times New Roman"/>
          <w:sz w:val="24"/>
          <w:szCs w:val="24"/>
        </w:rPr>
        <w:t xml:space="preserve"> for an on-coming recession, it’s always advisable to look for emerging “excesses” in the economy that ar</w:t>
      </w:r>
      <w:r w:rsidR="0002430A">
        <w:rPr>
          <w:rFonts w:ascii="Times New Roman" w:hAnsi="Times New Roman" w:cs="Times New Roman"/>
          <w:sz w:val="24"/>
          <w:szCs w:val="24"/>
        </w:rPr>
        <w:t>e prone for reversing.   Currently</w:t>
      </w:r>
      <w:r w:rsidR="004A4AA9">
        <w:rPr>
          <w:rFonts w:ascii="Times New Roman" w:hAnsi="Times New Roman" w:cs="Times New Roman"/>
          <w:sz w:val="24"/>
          <w:szCs w:val="24"/>
        </w:rPr>
        <w:t xml:space="preserve"> it appears the sectors to watch are equity investments (the stock markets), where many indicators suggest inflated values, and business borrowing, where higher-risk loans have been increasing.   Signs of trouble in either of these areas may be the best forecast of a broad economic downturn.</w:t>
      </w:r>
    </w:p>
    <w:p w:rsidR="004A4AA9" w:rsidRDefault="004A4AA9" w:rsidP="001D4BA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for now, there appear to be sunny days in the near future for the economy, both nationally and in North Carolina.  </w:t>
      </w:r>
    </w:p>
    <w:p w:rsidR="00302FE0" w:rsidRDefault="00302FE0" w:rsidP="001D4BA4">
      <w:pPr>
        <w:spacing w:line="240" w:lineRule="auto"/>
        <w:rPr>
          <w:rFonts w:ascii="Times New Roman" w:hAnsi="Times New Roman" w:cs="Times New Roman"/>
          <w:sz w:val="24"/>
          <w:szCs w:val="24"/>
        </w:rPr>
      </w:pPr>
    </w:p>
    <w:p w:rsidR="00354BD5" w:rsidRDefault="00354BD5" w:rsidP="001D4BA4">
      <w:pPr>
        <w:spacing w:line="240" w:lineRule="auto"/>
        <w:rPr>
          <w:rFonts w:ascii="Times New Roman" w:hAnsi="Times New Roman" w:cs="Times New Roman"/>
          <w:sz w:val="24"/>
          <w:szCs w:val="24"/>
        </w:rPr>
      </w:pPr>
    </w:p>
    <w:p w:rsidR="00302FE0" w:rsidRDefault="00302FE0" w:rsidP="001D4BA4">
      <w:pPr>
        <w:spacing w:line="240" w:lineRule="auto"/>
        <w:rPr>
          <w:rFonts w:ascii="Times New Roman" w:hAnsi="Times New Roman" w:cs="Times New Roman"/>
          <w:sz w:val="24"/>
          <w:szCs w:val="24"/>
        </w:rPr>
      </w:pPr>
    </w:p>
    <w:p w:rsidR="00C8630F" w:rsidRPr="00C8630F" w:rsidRDefault="00C8630F" w:rsidP="001D4BA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1. North Carolina Regional </w:t>
      </w:r>
      <w:r w:rsidR="0002430A">
        <w:rPr>
          <w:rFonts w:ascii="Times New Roman" w:hAnsi="Times New Roman" w:cs="Times New Roman"/>
          <w:b/>
          <w:sz w:val="24"/>
          <w:szCs w:val="24"/>
        </w:rPr>
        <w:t xml:space="preserve">“Headline” </w:t>
      </w:r>
      <w:r>
        <w:rPr>
          <w:rFonts w:ascii="Times New Roman" w:hAnsi="Times New Roman" w:cs="Times New Roman"/>
          <w:b/>
          <w:sz w:val="24"/>
          <w:szCs w:val="24"/>
        </w:rPr>
        <w:t>Unemployment Rate Forecasts.</w:t>
      </w:r>
    </w:p>
    <w:tbl>
      <w:tblPr>
        <w:tblStyle w:val="TableGrid"/>
        <w:tblW w:w="0" w:type="auto"/>
        <w:tblLook w:val="04A0" w:firstRow="1" w:lastRow="0" w:firstColumn="1" w:lastColumn="0" w:noHBand="0" w:noVBand="1"/>
      </w:tblPr>
      <w:tblGrid>
        <w:gridCol w:w="2425"/>
        <w:gridCol w:w="2340"/>
        <w:gridCol w:w="3510"/>
      </w:tblGrid>
      <w:tr w:rsidR="00320CFA" w:rsidTr="00914251">
        <w:tc>
          <w:tcPr>
            <w:tcW w:w="2425" w:type="dxa"/>
          </w:tcPr>
          <w:p w:rsidR="00320CFA" w:rsidRPr="00320CFA" w:rsidRDefault="00320CFA" w:rsidP="001D4BA4">
            <w:pPr>
              <w:rPr>
                <w:rFonts w:ascii="Times New Roman" w:hAnsi="Times New Roman" w:cs="Times New Roman"/>
                <w:b/>
                <w:sz w:val="24"/>
                <w:szCs w:val="24"/>
              </w:rPr>
            </w:pPr>
            <w:r>
              <w:rPr>
                <w:rFonts w:ascii="Times New Roman" w:hAnsi="Times New Roman" w:cs="Times New Roman"/>
                <w:b/>
                <w:sz w:val="24"/>
                <w:szCs w:val="24"/>
              </w:rPr>
              <w:t>Region</w:t>
            </w:r>
          </w:p>
        </w:tc>
        <w:tc>
          <w:tcPr>
            <w:tcW w:w="2340" w:type="dxa"/>
          </w:tcPr>
          <w:p w:rsidR="00320CFA" w:rsidRPr="00320CFA" w:rsidRDefault="008A190D" w:rsidP="001D4BA4">
            <w:pPr>
              <w:rPr>
                <w:rFonts w:ascii="Times New Roman" w:hAnsi="Times New Roman" w:cs="Times New Roman"/>
                <w:b/>
                <w:sz w:val="24"/>
                <w:szCs w:val="24"/>
              </w:rPr>
            </w:pPr>
            <w:r>
              <w:rPr>
                <w:rFonts w:ascii="Times New Roman" w:hAnsi="Times New Roman" w:cs="Times New Roman"/>
                <w:b/>
                <w:sz w:val="24"/>
                <w:szCs w:val="24"/>
              </w:rPr>
              <w:t xml:space="preserve">    June 2018</w:t>
            </w:r>
            <w:r w:rsidR="00320CFA">
              <w:rPr>
                <w:rFonts w:ascii="Times New Roman" w:hAnsi="Times New Roman" w:cs="Times New Roman"/>
                <w:b/>
                <w:sz w:val="24"/>
                <w:szCs w:val="24"/>
              </w:rPr>
              <w:t xml:space="preserve"> Rate</w:t>
            </w:r>
          </w:p>
        </w:tc>
        <w:tc>
          <w:tcPr>
            <w:tcW w:w="3510" w:type="dxa"/>
          </w:tcPr>
          <w:p w:rsidR="00320CFA" w:rsidRPr="00320CFA" w:rsidRDefault="008A190D" w:rsidP="001D4BA4">
            <w:pPr>
              <w:rPr>
                <w:rFonts w:ascii="Times New Roman" w:hAnsi="Times New Roman" w:cs="Times New Roman"/>
                <w:b/>
                <w:sz w:val="24"/>
                <w:szCs w:val="24"/>
              </w:rPr>
            </w:pPr>
            <w:r>
              <w:rPr>
                <w:rFonts w:ascii="Times New Roman" w:hAnsi="Times New Roman" w:cs="Times New Roman"/>
                <w:b/>
                <w:sz w:val="24"/>
                <w:szCs w:val="24"/>
              </w:rPr>
              <w:t xml:space="preserve">    Forecasted June 2019</w:t>
            </w:r>
            <w:r w:rsidR="00320CFA">
              <w:rPr>
                <w:rFonts w:ascii="Times New Roman" w:hAnsi="Times New Roman" w:cs="Times New Roman"/>
                <w:b/>
                <w:sz w:val="24"/>
                <w:szCs w:val="24"/>
              </w:rPr>
              <w:t xml:space="preserve"> Rate</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Asheville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3.4</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3.2</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Burlington</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4.2</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3.9</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Charlotte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320CFA">
              <w:rPr>
                <w:rFonts w:ascii="Times New Roman" w:hAnsi="Times New Roman" w:cs="Times New Roman"/>
                <w:sz w:val="24"/>
                <w:szCs w:val="24"/>
              </w:rPr>
              <w:t>3.9%</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3.7</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Durham</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3.8</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3.5</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Fayetteville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5.4</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4.9</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Greensboro</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4.5</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4.0</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Greenville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4.9</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4.4</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Goldsboro</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320CFA">
              <w:rPr>
                <w:rFonts w:ascii="Times New Roman" w:hAnsi="Times New Roman" w:cs="Times New Roman"/>
                <w:sz w:val="24"/>
                <w:szCs w:val="24"/>
              </w:rPr>
              <w:t>4.6%</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4.3</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Hickory</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3.9</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3.7</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Jacksonville</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4.0</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3.8</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New Bern</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320CFA">
              <w:rPr>
                <w:rFonts w:ascii="Times New Roman" w:hAnsi="Times New Roman" w:cs="Times New Roman"/>
                <w:sz w:val="24"/>
                <w:szCs w:val="24"/>
              </w:rPr>
              <w:t>4.3%</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4.1</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Raleigh</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3.7</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3.4</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Rocky Mount</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6.3</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5.8</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Wilmington</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320CFA">
              <w:rPr>
                <w:rFonts w:ascii="Times New Roman" w:hAnsi="Times New Roman" w:cs="Times New Roman"/>
                <w:sz w:val="24"/>
                <w:szCs w:val="24"/>
              </w:rPr>
              <w:t>3.9%</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3.6</w:t>
            </w:r>
            <w:r w:rsidR="00320CFA">
              <w:rPr>
                <w:rFonts w:ascii="Times New Roman" w:hAnsi="Times New Roman" w:cs="Times New Roman"/>
                <w:sz w:val="24"/>
                <w:szCs w:val="24"/>
              </w:rPr>
              <w:t>%</w:t>
            </w:r>
          </w:p>
        </w:tc>
      </w:tr>
      <w:tr w:rsidR="00320CFA" w:rsidTr="00914251">
        <w:tc>
          <w:tcPr>
            <w:tcW w:w="2425" w:type="dxa"/>
          </w:tcPr>
          <w:p w:rsidR="00320CFA" w:rsidRDefault="00320CFA" w:rsidP="001D4BA4">
            <w:pPr>
              <w:rPr>
                <w:rFonts w:ascii="Times New Roman" w:hAnsi="Times New Roman" w:cs="Times New Roman"/>
                <w:sz w:val="24"/>
                <w:szCs w:val="24"/>
              </w:rPr>
            </w:pPr>
            <w:r>
              <w:rPr>
                <w:rFonts w:ascii="Times New Roman" w:hAnsi="Times New Roman" w:cs="Times New Roman"/>
                <w:sz w:val="24"/>
                <w:szCs w:val="24"/>
              </w:rPr>
              <w:t>Winston-Salem</w:t>
            </w:r>
          </w:p>
        </w:tc>
        <w:tc>
          <w:tcPr>
            <w:tcW w:w="234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4.1</w:t>
            </w:r>
            <w:r w:rsidR="00320CFA">
              <w:rPr>
                <w:rFonts w:ascii="Times New Roman" w:hAnsi="Times New Roman" w:cs="Times New Roman"/>
                <w:sz w:val="24"/>
                <w:szCs w:val="24"/>
              </w:rPr>
              <w:t>%</w:t>
            </w:r>
          </w:p>
        </w:tc>
        <w:tc>
          <w:tcPr>
            <w:tcW w:w="3510" w:type="dxa"/>
          </w:tcPr>
          <w:p w:rsidR="00320CFA" w:rsidRDefault="00914251" w:rsidP="001D4BA4">
            <w:pPr>
              <w:rPr>
                <w:rFonts w:ascii="Times New Roman" w:hAnsi="Times New Roman" w:cs="Times New Roman"/>
                <w:sz w:val="24"/>
                <w:szCs w:val="24"/>
              </w:rPr>
            </w:pPr>
            <w:r>
              <w:rPr>
                <w:rFonts w:ascii="Times New Roman" w:hAnsi="Times New Roman" w:cs="Times New Roman"/>
                <w:sz w:val="24"/>
                <w:szCs w:val="24"/>
              </w:rPr>
              <w:t xml:space="preserve">                       </w:t>
            </w:r>
            <w:r w:rsidR="008A190D">
              <w:rPr>
                <w:rFonts w:ascii="Times New Roman" w:hAnsi="Times New Roman" w:cs="Times New Roman"/>
                <w:sz w:val="24"/>
                <w:szCs w:val="24"/>
              </w:rPr>
              <w:t>3.8</w:t>
            </w:r>
            <w:r w:rsidR="00320CFA">
              <w:rPr>
                <w:rFonts w:ascii="Times New Roman" w:hAnsi="Times New Roman" w:cs="Times New Roman"/>
                <w:sz w:val="24"/>
                <w:szCs w:val="24"/>
              </w:rPr>
              <w:t>%</w:t>
            </w:r>
          </w:p>
        </w:tc>
      </w:tr>
    </w:tbl>
    <w:p w:rsidR="00C8630F" w:rsidRPr="00BC4F16" w:rsidRDefault="00E2345B" w:rsidP="001D4BA4">
      <w:pPr>
        <w:spacing w:line="240" w:lineRule="auto"/>
        <w:rPr>
          <w:rFonts w:cstheme="minorHAnsi"/>
          <w:sz w:val="20"/>
          <w:szCs w:val="20"/>
        </w:rPr>
      </w:pPr>
      <w:r>
        <w:rPr>
          <w:rFonts w:cstheme="minorHAnsi"/>
          <w:sz w:val="20"/>
          <w:szCs w:val="20"/>
        </w:rPr>
        <w:t>Source:  U.S. Bureau of Labor Statistics</w:t>
      </w:r>
      <w:r w:rsidR="00034124">
        <w:rPr>
          <w:rFonts w:cstheme="minorHAnsi"/>
          <w:sz w:val="20"/>
          <w:szCs w:val="20"/>
        </w:rPr>
        <w:t>; author’s forecasts; not seasonally-adjusted.</w:t>
      </w:r>
    </w:p>
    <w:p w:rsidR="00C8630F" w:rsidRDefault="00C8630F" w:rsidP="001D4BA4">
      <w:pPr>
        <w:spacing w:line="240" w:lineRule="auto"/>
        <w:rPr>
          <w:rFonts w:ascii="Times New Roman" w:hAnsi="Times New Roman" w:cs="Times New Roman"/>
          <w:sz w:val="24"/>
          <w:szCs w:val="24"/>
        </w:rPr>
      </w:pPr>
    </w:p>
    <w:p w:rsidR="001C5211" w:rsidRPr="001F653C" w:rsidRDefault="001C5211" w:rsidP="001D4BA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C5211" w:rsidRDefault="001C5211" w:rsidP="001D4BA4">
      <w:pPr>
        <w:spacing w:line="240" w:lineRule="auto"/>
        <w:rPr>
          <w:rFonts w:ascii="Times New Roman" w:hAnsi="Times New Roman" w:cs="Times New Roman"/>
          <w:sz w:val="24"/>
          <w:szCs w:val="24"/>
        </w:rPr>
      </w:pPr>
    </w:p>
    <w:p w:rsidR="001C5211" w:rsidRDefault="001C5211" w:rsidP="001D4BA4">
      <w:pPr>
        <w:spacing w:line="240" w:lineRule="auto"/>
        <w:rPr>
          <w:rFonts w:ascii="Times New Roman" w:hAnsi="Times New Roman" w:cs="Times New Roman"/>
          <w:sz w:val="24"/>
          <w:szCs w:val="24"/>
        </w:rPr>
      </w:pPr>
    </w:p>
    <w:p w:rsidR="001C5211" w:rsidRPr="001C5211" w:rsidRDefault="001C5211" w:rsidP="001D4BA4">
      <w:pPr>
        <w:spacing w:line="240" w:lineRule="auto"/>
        <w:rPr>
          <w:rFonts w:ascii="Times New Roman" w:hAnsi="Times New Roman" w:cs="Times New Roman"/>
          <w:sz w:val="24"/>
          <w:szCs w:val="24"/>
        </w:rPr>
      </w:pPr>
      <w:bookmarkStart w:id="0" w:name="_GoBack"/>
      <w:bookmarkEnd w:id="0"/>
    </w:p>
    <w:sectPr w:rsidR="001C5211" w:rsidRPr="001C521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08D" w:rsidRDefault="00E2208D" w:rsidP="00584469">
      <w:pPr>
        <w:spacing w:after="0" w:line="240" w:lineRule="auto"/>
      </w:pPr>
      <w:r>
        <w:separator/>
      </w:r>
    </w:p>
  </w:endnote>
  <w:endnote w:type="continuationSeparator" w:id="0">
    <w:p w:rsidR="00E2208D" w:rsidRDefault="00E2208D" w:rsidP="0058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Times New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936578"/>
      <w:docPartObj>
        <w:docPartGallery w:val="Page Numbers (Bottom of Page)"/>
        <w:docPartUnique/>
      </w:docPartObj>
    </w:sdtPr>
    <w:sdtEndPr>
      <w:rPr>
        <w:noProof/>
      </w:rPr>
    </w:sdtEndPr>
    <w:sdtContent>
      <w:p w:rsidR="00584469" w:rsidRDefault="00584469">
        <w:pPr>
          <w:pStyle w:val="Footer"/>
          <w:jc w:val="right"/>
        </w:pPr>
        <w:r>
          <w:fldChar w:fldCharType="begin"/>
        </w:r>
        <w:r>
          <w:instrText xml:space="preserve"> PAGE   \* MERGEFORMAT </w:instrText>
        </w:r>
        <w:r>
          <w:fldChar w:fldCharType="separate"/>
        </w:r>
        <w:r w:rsidR="002421E2">
          <w:rPr>
            <w:noProof/>
          </w:rPr>
          <w:t>9</w:t>
        </w:r>
        <w:r>
          <w:rPr>
            <w:noProof/>
          </w:rPr>
          <w:fldChar w:fldCharType="end"/>
        </w:r>
      </w:p>
    </w:sdtContent>
  </w:sdt>
  <w:p w:rsidR="00584469" w:rsidRDefault="0058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08D" w:rsidRDefault="00E2208D" w:rsidP="00584469">
      <w:pPr>
        <w:spacing w:after="0" w:line="240" w:lineRule="auto"/>
      </w:pPr>
      <w:r>
        <w:separator/>
      </w:r>
    </w:p>
  </w:footnote>
  <w:footnote w:type="continuationSeparator" w:id="0">
    <w:p w:rsidR="00E2208D" w:rsidRDefault="00E2208D" w:rsidP="00584469">
      <w:pPr>
        <w:spacing w:after="0" w:line="240" w:lineRule="auto"/>
      </w:pPr>
      <w:r>
        <w:continuationSeparator/>
      </w:r>
    </w:p>
  </w:footnote>
  <w:footnote w:id="1">
    <w:p w:rsidR="00843089" w:rsidRDefault="00843089">
      <w:pPr>
        <w:pStyle w:val="FootnoteText"/>
      </w:pPr>
      <w:r>
        <w:rPr>
          <w:rStyle w:val="FootnoteReference"/>
        </w:rPr>
        <w:footnoteRef/>
      </w:r>
      <w:r>
        <w:t xml:space="preserve"> The U.S. Department of Commerce’s d</w:t>
      </w:r>
      <w:r w:rsidR="001E3F84">
        <w:t xml:space="preserve">efinition of Southeast is used </w:t>
      </w:r>
      <w:r>
        <w:t>and includes Alabama, Arkansas, Florida, Georgia, Kentucky Louisiana, Mississippi, North Carolina, South Carolina, Tennessee, West Virginia, and Virginia.</w:t>
      </w:r>
    </w:p>
  </w:footnote>
  <w:footnote w:id="2">
    <w:p w:rsidR="0008123C" w:rsidRDefault="0008123C">
      <w:pPr>
        <w:pStyle w:val="FootnoteText"/>
      </w:pPr>
      <w:r>
        <w:rPr>
          <w:rStyle w:val="FootnoteReference"/>
        </w:rPr>
        <w:footnoteRef/>
      </w:r>
      <w:r>
        <w:t xml:space="preserve"> Second quarter data will not be available until November.</w:t>
      </w:r>
    </w:p>
  </w:footnote>
  <w:footnote w:id="3">
    <w:p w:rsidR="004E2D91" w:rsidRPr="004E2D91" w:rsidRDefault="004E2D91">
      <w:pPr>
        <w:pStyle w:val="FootnoteText"/>
      </w:pPr>
      <w:r>
        <w:rPr>
          <w:rStyle w:val="FootnoteReference"/>
        </w:rPr>
        <w:footnoteRef/>
      </w:r>
      <w:r>
        <w:t xml:space="preserve"> For the definitions of “high-paying”, “middle-paying”, and “low-paying”, see Michael L. Walden, “North Carolina’s ‘U-Turn’ and Alternative Economic Paths of the State’s Regions,” </w:t>
      </w:r>
      <w:r>
        <w:rPr>
          <w:i/>
        </w:rPr>
        <w:t xml:space="preserve">Studies in the North Carolina Economy, </w:t>
      </w:r>
      <w:r>
        <w:t>July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6CCD"/>
    <w:multiLevelType w:val="hybridMultilevel"/>
    <w:tmpl w:val="6B5C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06DF6"/>
    <w:multiLevelType w:val="hybridMultilevel"/>
    <w:tmpl w:val="44EA1AA4"/>
    <w:lvl w:ilvl="0" w:tplc="9524082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80"/>
    <w:rsid w:val="0000213C"/>
    <w:rsid w:val="00011347"/>
    <w:rsid w:val="00013564"/>
    <w:rsid w:val="0002430A"/>
    <w:rsid w:val="00034124"/>
    <w:rsid w:val="00034A84"/>
    <w:rsid w:val="000433FC"/>
    <w:rsid w:val="00050814"/>
    <w:rsid w:val="0008123C"/>
    <w:rsid w:val="000869A0"/>
    <w:rsid w:val="00093353"/>
    <w:rsid w:val="000B4C19"/>
    <w:rsid w:val="000C384D"/>
    <w:rsid w:val="001022D3"/>
    <w:rsid w:val="00103B12"/>
    <w:rsid w:val="001117E1"/>
    <w:rsid w:val="00121837"/>
    <w:rsid w:val="0012229F"/>
    <w:rsid w:val="00131F42"/>
    <w:rsid w:val="00137457"/>
    <w:rsid w:val="00174D1B"/>
    <w:rsid w:val="001849AD"/>
    <w:rsid w:val="001870EB"/>
    <w:rsid w:val="001877B6"/>
    <w:rsid w:val="00190EAF"/>
    <w:rsid w:val="00194D2D"/>
    <w:rsid w:val="001A1B95"/>
    <w:rsid w:val="001B2CED"/>
    <w:rsid w:val="001C31DD"/>
    <w:rsid w:val="001C5211"/>
    <w:rsid w:val="001D4BA4"/>
    <w:rsid w:val="001E3F84"/>
    <w:rsid w:val="001F6F2E"/>
    <w:rsid w:val="00206E11"/>
    <w:rsid w:val="00223D52"/>
    <w:rsid w:val="002360D1"/>
    <w:rsid w:val="002421E2"/>
    <w:rsid w:val="00243C13"/>
    <w:rsid w:val="00247FD4"/>
    <w:rsid w:val="002678C2"/>
    <w:rsid w:val="00267957"/>
    <w:rsid w:val="00273F5E"/>
    <w:rsid w:val="0027625F"/>
    <w:rsid w:val="00281B65"/>
    <w:rsid w:val="00293467"/>
    <w:rsid w:val="002C585C"/>
    <w:rsid w:val="002D6A4C"/>
    <w:rsid w:val="002E1C0E"/>
    <w:rsid w:val="002E5349"/>
    <w:rsid w:val="002E6CF1"/>
    <w:rsid w:val="00302FE0"/>
    <w:rsid w:val="00310109"/>
    <w:rsid w:val="00320CFA"/>
    <w:rsid w:val="003222C1"/>
    <w:rsid w:val="00330AD0"/>
    <w:rsid w:val="00333120"/>
    <w:rsid w:val="0034011B"/>
    <w:rsid w:val="003416A5"/>
    <w:rsid w:val="00341D5D"/>
    <w:rsid w:val="0034780A"/>
    <w:rsid w:val="00347AC9"/>
    <w:rsid w:val="00354BD5"/>
    <w:rsid w:val="00356255"/>
    <w:rsid w:val="0035791F"/>
    <w:rsid w:val="00364E3D"/>
    <w:rsid w:val="0039584E"/>
    <w:rsid w:val="00396969"/>
    <w:rsid w:val="003A2893"/>
    <w:rsid w:val="003A34D1"/>
    <w:rsid w:val="003A5116"/>
    <w:rsid w:val="003A7D6B"/>
    <w:rsid w:val="003B1224"/>
    <w:rsid w:val="003B6AFA"/>
    <w:rsid w:val="003C2B01"/>
    <w:rsid w:val="00404F98"/>
    <w:rsid w:val="0040728E"/>
    <w:rsid w:val="004073F8"/>
    <w:rsid w:val="00433196"/>
    <w:rsid w:val="00455F77"/>
    <w:rsid w:val="0047193B"/>
    <w:rsid w:val="004757FA"/>
    <w:rsid w:val="004773C6"/>
    <w:rsid w:val="00481E30"/>
    <w:rsid w:val="00483DCA"/>
    <w:rsid w:val="004A0F8C"/>
    <w:rsid w:val="004A2CA9"/>
    <w:rsid w:val="004A4AA9"/>
    <w:rsid w:val="004D7C5E"/>
    <w:rsid w:val="004E2D91"/>
    <w:rsid w:val="00541E89"/>
    <w:rsid w:val="00551FCE"/>
    <w:rsid w:val="0055358B"/>
    <w:rsid w:val="00561377"/>
    <w:rsid w:val="00571D7C"/>
    <w:rsid w:val="00584469"/>
    <w:rsid w:val="005939A3"/>
    <w:rsid w:val="005942A0"/>
    <w:rsid w:val="005A55E6"/>
    <w:rsid w:val="005B71C3"/>
    <w:rsid w:val="0060778A"/>
    <w:rsid w:val="006213E3"/>
    <w:rsid w:val="00625CEA"/>
    <w:rsid w:val="006366EA"/>
    <w:rsid w:val="0065158F"/>
    <w:rsid w:val="0066264D"/>
    <w:rsid w:val="0068615D"/>
    <w:rsid w:val="006B7BA7"/>
    <w:rsid w:val="006E1E07"/>
    <w:rsid w:val="006E32FD"/>
    <w:rsid w:val="006F71D2"/>
    <w:rsid w:val="00702F10"/>
    <w:rsid w:val="0074228A"/>
    <w:rsid w:val="00754756"/>
    <w:rsid w:val="00762D6B"/>
    <w:rsid w:val="00773602"/>
    <w:rsid w:val="00780024"/>
    <w:rsid w:val="0078215C"/>
    <w:rsid w:val="007A0746"/>
    <w:rsid w:val="007D29E2"/>
    <w:rsid w:val="007D3A54"/>
    <w:rsid w:val="007F0E45"/>
    <w:rsid w:val="00835C10"/>
    <w:rsid w:val="00843089"/>
    <w:rsid w:val="00845154"/>
    <w:rsid w:val="00847834"/>
    <w:rsid w:val="0085709B"/>
    <w:rsid w:val="00886136"/>
    <w:rsid w:val="008917F2"/>
    <w:rsid w:val="008A190D"/>
    <w:rsid w:val="008A2E46"/>
    <w:rsid w:val="008A302C"/>
    <w:rsid w:val="008A4F07"/>
    <w:rsid w:val="008F0A1F"/>
    <w:rsid w:val="008F18B9"/>
    <w:rsid w:val="008F48AE"/>
    <w:rsid w:val="00914251"/>
    <w:rsid w:val="00952C25"/>
    <w:rsid w:val="009704DB"/>
    <w:rsid w:val="00980AF3"/>
    <w:rsid w:val="00983B62"/>
    <w:rsid w:val="009E0F34"/>
    <w:rsid w:val="00A01F2C"/>
    <w:rsid w:val="00A02DE8"/>
    <w:rsid w:val="00A07B20"/>
    <w:rsid w:val="00A254E1"/>
    <w:rsid w:val="00A310EF"/>
    <w:rsid w:val="00A31D49"/>
    <w:rsid w:val="00A44E11"/>
    <w:rsid w:val="00A66D7D"/>
    <w:rsid w:val="00A703E9"/>
    <w:rsid w:val="00AA6D4F"/>
    <w:rsid w:val="00AC076D"/>
    <w:rsid w:val="00AC2360"/>
    <w:rsid w:val="00AC5F65"/>
    <w:rsid w:val="00AC7F92"/>
    <w:rsid w:val="00AF0BEF"/>
    <w:rsid w:val="00AF23F5"/>
    <w:rsid w:val="00B1603E"/>
    <w:rsid w:val="00B30BD1"/>
    <w:rsid w:val="00B452D7"/>
    <w:rsid w:val="00B4751C"/>
    <w:rsid w:val="00B605C5"/>
    <w:rsid w:val="00B661FB"/>
    <w:rsid w:val="00B759FA"/>
    <w:rsid w:val="00B90C41"/>
    <w:rsid w:val="00B9281D"/>
    <w:rsid w:val="00B941C4"/>
    <w:rsid w:val="00BA3BF9"/>
    <w:rsid w:val="00BA708E"/>
    <w:rsid w:val="00BC4F16"/>
    <w:rsid w:val="00BC629C"/>
    <w:rsid w:val="00BC63B5"/>
    <w:rsid w:val="00BF0380"/>
    <w:rsid w:val="00BF7DD2"/>
    <w:rsid w:val="00C16CA3"/>
    <w:rsid w:val="00C66B9F"/>
    <w:rsid w:val="00C7400F"/>
    <w:rsid w:val="00C8630F"/>
    <w:rsid w:val="00CA6F7E"/>
    <w:rsid w:val="00CB0F94"/>
    <w:rsid w:val="00CB3587"/>
    <w:rsid w:val="00CE21FB"/>
    <w:rsid w:val="00CF5C9B"/>
    <w:rsid w:val="00D04478"/>
    <w:rsid w:val="00D150B3"/>
    <w:rsid w:val="00D27261"/>
    <w:rsid w:val="00D33CCA"/>
    <w:rsid w:val="00D4592E"/>
    <w:rsid w:val="00D608B6"/>
    <w:rsid w:val="00D64CEF"/>
    <w:rsid w:val="00D810C3"/>
    <w:rsid w:val="00DB57E0"/>
    <w:rsid w:val="00DC34FA"/>
    <w:rsid w:val="00DD0853"/>
    <w:rsid w:val="00DE0B10"/>
    <w:rsid w:val="00DE11C9"/>
    <w:rsid w:val="00DE404F"/>
    <w:rsid w:val="00DE4FA4"/>
    <w:rsid w:val="00E040DB"/>
    <w:rsid w:val="00E07E51"/>
    <w:rsid w:val="00E1335A"/>
    <w:rsid w:val="00E1490A"/>
    <w:rsid w:val="00E2208D"/>
    <w:rsid w:val="00E2345B"/>
    <w:rsid w:val="00E3233D"/>
    <w:rsid w:val="00E3555F"/>
    <w:rsid w:val="00E72234"/>
    <w:rsid w:val="00E72D55"/>
    <w:rsid w:val="00E861F9"/>
    <w:rsid w:val="00EA2AB4"/>
    <w:rsid w:val="00EC0065"/>
    <w:rsid w:val="00EC52AF"/>
    <w:rsid w:val="00ED68E9"/>
    <w:rsid w:val="00EF384C"/>
    <w:rsid w:val="00F01BD7"/>
    <w:rsid w:val="00F05213"/>
    <w:rsid w:val="00F33229"/>
    <w:rsid w:val="00F429BB"/>
    <w:rsid w:val="00F523E5"/>
    <w:rsid w:val="00F7096B"/>
    <w:rsid w:val="00F80A0D"/>
    <w:rsid w:val="00F94EA6"/>
    <w:rsid w:val="00FA77C8"/>
    <w:rsid w:val="00FB3403"/>
    <w:rsid w:val="00FC7E9D"/>
    <w:rsid w:val="00FD1648"/>
    <w:rsid w:val="00FD2C9C"/>
    <w:rsid w:val="00FD305C"/>
    <w:rsid w:val="00FD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09F8"/>
  <w15:chartTrackingRefBased/>
  <w15:docId w15:val="{E617901E-5A1F-452F-8802-07F9C68B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80"/>
    <w:rPr>
      <w:color w:val="0000FF"/>
      <w:u w:val="single"/>
    </w:rPr>
  </w:style>
  <w:style w:type="paragraph" w:styleId="ListParagraph">
    <w:name w:val="List Paragraph"/>
    <w:basedOn w:val="Normal"/>
    <w:uiPriority w:val="34"/>
    <w:qFormat/>
    <w:rsid w:val="00BF0380"/>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584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469"/>
    <w:rPr>
      <w:sz w:val="20"/>
      <w:szCs w:val="20"/>
    </w:rPr>
  </w:style>
  <w:style w:type="character" w:styleId="FootnoteReference">
    <w:name w:val="footnote reference"/>
    <w:basedOn w:val="DefaultParagraphFont"/>
    <w:uiPriority w:val="99"/>
    <w:semiHidden/>
    <w:unhideWhenUsed/>
    <w:rsid w:val="00584469"/>
    <w:rPr>
      <w:vertAlign w:val="superscript"/>
    </w:rPr>
  </w:style>
  <w:style w:type="paragraph" w:styleId="Header">
    <w:name w:val="header"/>
    <w:basedOn w:val="Normal"/>
    <w:link w:val="HeaderChar"/>
    <w:uiPriority w:val="99"/>
    <w:unhideWhenUsed/>
    <w:rsid w:val="00584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69"/>
  </w:style>
  <w:style w:type="paragraph" w:styleId="Footer">
    <w:name w:val="footer"/>
    <w:basedOn w:val="Normal"/>
    <w:link w:val="FooterChar"/>
    <w:uiPriority w:val="99"/>
    <w:unhideWhenUsed/>
    <w:rsid w:val="00584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69"/>
  </w:style>
  <w:style w:type="paragraph" w:styleId="BalloonText">
    <w:name w:val="Balloon Text"/>
    <w:basedOn w:val="Normal"/>
    <w:link w:val="BalloonTextChar"/>
    <w:uiPriority w:val="99"/>
    <w:semiHidden/>
    <w:unhideWhenUsed/>
    <w:rsid w:val="00D64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EF"/>
    <w:rPr>
      <w:rFonts w:ascii="Segoe UI" w:hAnsi="Segoe UI" w:cs="Segoe UI"/>
      <w:sz w:val="18"/>
      <w:szCs w:val="18"/>
    </w:rPr>
  </w:style>
  <w:style w:type="table" w:styleId="TableGrid">
    <w:name w:val="Table Grid"/>
    <w:basedOn w:val="TableNormal"/>
    <w:uiPriority w:val="39"/>
    <w:rsid w:val="0032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584235">
      <w:bodyDiv w:val="1"/>
      <w:marLeft w:val="0"/>
      <w:marRight w:val="0"/>
      <w:marTop w:val="0"/>
      <w:marBottom w:val="0"/>
      <w:divBdr>
        <w:top w:val="none" w:sz="0" w:space="0" w:color="auto"/>
        <w:left w:val="none" w:sz="0" w:space="0" w:color="auto"/>
        <w:bottom w:val="none" w:sz="0" w:space="0" w:color="auto"/>
        <w:right w:val="none" w:sz="0" w:space="0" w:color="auto"/>
      </w:divBdr>
      <w:divsChild>
        <w:div w:id="1143699407">
          <w:marLeft w:val="0"/>
          <w:marRight w:val="0"/>
          <w:marTop w:val="0"/>
          <w:marBottom w:val="0"/>
          <w:divBdr>
            <w:top w:val="none" w:sz="0" w:space="0" w:color="auto"/>
            <w:left w:val="none" w:sz="0" w:space="0" w:color="auto"/>
            <w:bottom w:val="none" w:sz="0" w:space="0" w:color="auto"/>
            <w:right w:val="none" w:sz="0" w:space="0" w:color="auto"/>
          </w:divBdr>
          <w:divsChild>
            <w:div w:id="3863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mailto:michael_walden@ncsu.edu"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c:v>
                </c:pt>
              </c:strCache>
            </c:strRef>
          </c:tx>
          <c:spPr>
            <a:solidFill>
              <a:srgbClr val="FF0000"/>
            </a:solidFill>
            <a:ln>
              <a:noFill/>
            </a:ln>
            <a:effectLst/>
          </c:spPr>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1.1000000000000001</c:v>
                </c:pt>
                <c:pt idx="1">
                  <c:v>1.2</c:v>
                </c:pt>
                <c:pt idx="2">
                  <c:v>-0.3</c:v>
                </c:pt>
                <c:pt idx="3">
                  <c:v>1.7</c:v>
                </c:pt>
                <c:pt idx="4">
                  <c:v>2.1</c:v>
                </c:pt>
                <c:pt idx="5">
                  <c:v>2.8</c:v>
                </c:pt>
                <c:pt idx="6">
                  <c:v>1.2</c:v>
                </c:pt>
                <c:pt idx="7">
                  <c:v>2.2999999999999998</c:v>
                </c:pt>
                <c:pt idx="8">
                  <c:v>2.1</c:v>
                </c:pt>
              </c:numCache>
            </c:numRef>
          </c:val>
          <c:extLst>
            <c:ext xmlns:c16="http://schemas.microsoft.com/office/drawing/2014/chart" uri="{C3380CC4-5D6E-409C-BE32-E72D297353CC}">
              <c16:uniqueId val="{00000000-1B49-2E44-BDB5-DDB6EFFE384A}"/>
            </c:ext>
          </c:extLst>
        </c:ser>
        <c:ser>
          <c:idx val="1"/>
          <c:order val="1"/>
          <c:tx>
            <c:strRef>
              <c:f>Sheet1!$C$1</c:f>
              <c:strCache>
                <c:ptCount val="1"/>
                <c:pt idx="0">
                  <c:v>US</c:v>
                </c:pt>
              </c:strCache>
            </c:strRef>
          </c:tx>
          <c:spPr>
            <a:solidFill>
              <a:schemeClr val="tx2">
                <a:lumMod val="75000"/>
              </a:schemeClr>
            </a:solidFill>
            <a:ln>
              <a:noFill/>
            </a:ln>
            <a:effectLst/>
          </c:spPr>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2.2000000000000002</c:v>
                </c:pt>
                <c:pt idx="1">
                  <c:v>1.4</c:v>
                </c:pt>
                <c:pt idx="2">
                  <c:v>2</c:v>
                </c:pt>
                <c:pt idx="3">
                  <c:v>1.5</c:v>
                </c:pt>
                <c:pt idx="4">
                  <c:v>2.4</c:v>
                </c:pt>
                <c:pt idx="5">
                  <c:v>2.7</c:v>
                </c:pt>
                <c:pt idx="6">
                  <c:v>1.5</c:v>
                </c:pt>
                <c:pt idx="7">
                  <c:v>2.1</c:v>
                </c:pt>
                <c:pt idx="8">
                  <c:v>1.8</c:v>
                </c:pt>
              </c:numCache>
            </c:numRef>
          </c:val>
          <c:extLst>
            <c:ext xmlns:c16="http://schemas.microsoft.com/office/drawing/2014/chart" uri="{C3380CC4-5D6E-409C-BE32-E72D297353CC}">
              <c16:uniqueId val="{00000001-1B49-2E44-BDB5-DDB6EFFE384A}"/>
            </c:ext>
          </c:extLst>
        </c:ser>
        <c:ser>
          <c:idx val="2"/>
          <c:order val="2"/>
          <c:tx>
            <c:strRef>
              <c:f>Sheet1!$D$1</c:f>
              <c:strCache>
                <c:ptCount val="1"/>
                <c:pt idx="0">
                  <c:v>SE</c:v>
                </c:pt>
              </c:strCache>
            </c:strRef>
          </c:tx>
          <c:spPr>
            <a:solidFill>
              <a:srgbClr val="FFC000"/>
            </a:solidFill>
            <a:ln>
              <a:noFill/>
            </a:ln>
            <a:effectLst/>
          </c:spPr>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Sheet1!$D$2:$D$10</c:f>
              <c:numCache>
                <c:formatCode>General</c:formatCode>
                <c:ptCount val="9"/>
                <c:pt idx="0">
                  <c:v>1.8</c:v>
                </c:pt>
                <c:pt idx="1">
                  <c:v>0.4</c:v>
                </c:pt>
                <c:pt idx="2">
                  <c:v>0.8</c:v>
                </c:pt>
                <c:pt idx="3">
                  <c:v>1.1000000000000001</c:v>
                </c:pt>
                <c:pt idx="4">
                  <c:v>1.8</c:v>
                </c:pt>
                <c:pt idx="5">
                  <c:v>2.6</c:v>
                </c:pt>
                <c:pt idx="6">
                  <c:v>1.8</c:v>
                </c:pt>
                <c:pt idx="7">
                  <c:v>2</c:v>
                </c:pt>
                <c:pt idx="8">
                  <c:v>2</c:v>
                </c:pt>
              </c:numCache>
            </c:numRef>
          </c:val>
          <c:extLst>
            <c:ext xmlns:c16="http://schemas.microsoft.com/office/drawing/2014/chart" uri="{C3380CC4-5D6E-409C-BE32-E72D297353CC}">
              <c16:uniqueId val="{00000002-1B49-2E44-BDB5-DDB6EFFE384A}"/>
            </c:ext>
          </c:extLst>
        </c:ser>
        <c:dLbls>
          <c:showLegendKey val="0"/>
          <c:showVal val="0"/>
          <c:showCatName val="0"/>
          <c:showSerName val="0"/>
          <c:showPercent val="0"/>
          <c:showBubbleSize val="0"/>
        </c:dLbls>
        <c:gapWidth val="219"/>
        <c:overlap val="-27"/>
        <c:axId val="451022680"/>
        <c:axId val="417584672"/>
      </c:barChart>
      <c:catAx>
        <c:axId val="45102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4672"/>
        <c:crosses val="autoZero"/>
        <c:auto val="1"/>
        <c:lblAlgn val="ctr"/>
        <c:lblOffset val="100"/>
        <c:noMultiLvlLbl val="0"/>
      </c:catAx>
      <c:valAx>
        <c:axId val="417584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02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dirty="0"/>
              <a:t>NCSU</a:t>
            </a:r>
            <a:r>
              <a:rPr lang="en-US" sz="1200" baseline="0" dirty="0"/>
              <a:t> INDEX OF NORTH CAROLINA LEADING ECONOMIC INDICATORS</a:t>
            </a:r>
            <a:endParaRPr lang="en-US" sz="1200" dirty="0"/>
          </a:p>
        </c:rich>
      </c:tx>
      <c:overlay val="0"/>
    </c:title>
    <c:autoTitleDeleted val="0"/>
    <c:plotArea>
      <c:layout/>
      <c:lineChart>
        <c:grouping val="standard"/>
        <c:varyColors val="0"/>
        <c:ser>
          <c:idx val="0"/>
          <c:order val="0"/>
          <c:tx>
            <c:strRef>
              <c:f>Sheet1!$B$1</c:f>
              <c:strCache>
                <c:ptCount val="1"/>
                <c:pt idx="0">
                  <c:v>Series 1</c:v>
                </c:pt>
              </c:strCache>
            </c:strRef>
          </c:tx>
          <c:spPr>
            <a:ln>
              <a:solidFill>
                <a:srgbClr val="FF0000"/>
              </a:solidFill>
            </a:ln>
          </c:spPr>
          <c:marker>
            <c:symbol val="none"/>
          </c:marker>
          <c:cat>
            <c:strRef>
              <c:f>Sheet1!$A$2:$A$138</c:f>
              <c:strCache>
                <c:ptCount val="137"/>
                <c:pt idx="0">
                  <c:v>2007 feb</c:v>
                </c:pt>
                <c:pt idx="1">
                  <c:v>2007 mar</c:v>
                </c:pt>
                <c:pt idx="2">
                  <c:v>2007 apr</c:v>
                </c:pt>
                <c:pt idx="3">
                  <c:v>2007 may</c:v>
                </c:pt>
                <c:pt idx="4">
                  <c:v>2007 jun</c:v>
                </c:pt>
                <c:pt idx="5">
                  <c:v>2007 jul</c:v>
                </c:pt>
                <c:pt idx="6">
                  <c:v>2007 aug</c:v>
                </c:pt>
                <c:pt idx="7">
                  <c:v>2007 sep</c:v>
                </c:pt>
                <c:pt idx="8">
                  <c:v>2007 oct</c:v>
                </c:pt>
                <c:pt idx="9">
                  <c:v>2007 nov</c:v>
                </c:pt>
                <c:pt idx="10">
                  <c:v>2007 dec</c:v>
                </c:pt>
                <c:pt idx="11">
                  <c:v>2008 jan</c:v>
                </c:pt>
                <c:pt idx="12">
                  <c:v>2008 feb</c:v>
                </c:pt>
                <c:pt idx="13">
                  <c:v>2008 mar</c:v>
                </c:pt>
                <c:pt idx="14">
                  <c:v>2008 apr</c:v>
                </c:pt>
                <c:pt idx="15">
                  <c:v>2008 may</c:v>
                </c:pt>
                <c:pt idx="16">
                  <c:v>2008 jun</c:v>
                </c:pt>
                <c:pt idx="17">
                  <c:v>2008 jul</c:v>
                </c:pt>
                <c:pt idx="18">
                  <c:v>2008 aug</c:v>
                </c:pt>
                <c:pt idx="19">
                  <c:v>2008 sep</c:v>
                </c:pt>
                <c:pt idx="20">
                  <c:v>2008 oct</c:v>
                </c:pt>
                <c:pt idx="21">
                  <c:v>2008 nov</c:v>
                </c:pt>
                <c:pt idx="22">
                  <c:v>2008 dec</c:v>
                </c:pt>
                <c:pt idx="23">
                  <c:v>2009 jan</c:v>
                </c:pt>
                <c:pt idx="24">
                  <c:v>2009 feb</c:v>
                </c:pt>
                <c:pt idx="25">
                  <c:v>2009 mar</c:v>
                </c:pt>
                <c:pt idx="26">
                  <c:v>2009 apr</c:v>
                </c:pt>
                <c:pt idx="27">
                  <c:v>2009 may</c:v>
                </c:pt>
                <c:pt idx="28">
                  <c:v>2009 jun</c:v>
                </c:pt>
                <c:pt idx="29">
                  <c:v>2009 jul</c:v>
                </c:pt>
                <c:pt idx="30">
                  <c:v>2009 aug</c:v>
                </c:pt>
                <c:pt idx="31">
                  <c:v>2009 sep</c:v>
                </c:pt>
                <c:pt idx="32">
                  <c:v>2009 oct</c:v>
                </c:pt>
                <c:pt idx="33">
                  <c:v>2009 nov</c:v>
                </c:pt>
                <c:pt idx="34">
                  <c:v>2009 dec</c:v>
                </c:pt>
                <c:pt idx="35">
                  <c:v>2010 jan</c:v>
                </c:pt>
                <c:pt idx="36">
                  <c:v>2010 feb</c:v>
                </c:pt>
                <c:pt idx="37">
                  <c:v>2010 mar</c:v>
                </c:pt>
                <c:pt idx="38">
                  <c:v>2010 apr</c:v>
                </c:pt>
                <c:pt idx="39">
                  <c:v>2010 may</c:v>
                </c:pt>
                <c:pt idx="40">
                  <c:v>2010 jun</c:v>
                </c:pt>
                <c:pt idx="41">
                  <c:v>2010 jul</c:v>
                </c:pt>
                <c:pt idx="42">
                  <c:v>2010 aug</c:v>
                </c:pt>
                <c:pt idx="43">
                  <c:v>2010 sep</c:v>
                </c:pt>
                <c:pt idx="44">
                  <c:v>2010 oct</c:v>
                </c:pt>
                <c:pt idx="45">
                  <c:v>2010 nov</c:v>
                </c:pt>
                <c:pt idx="46">
                  <c:v>2010 dec</c:v>
                </c:pt>
                <c:pt idx="47">
                  <c:v>2011 jan</c:v>
                </c:pt>
                <c:pt idx="48">
                  <c:v>2011 feb</c:v>
                </c:pt>
                <c:pt idx="49">
                  <c:v>2011 mar</c:v>
                </c:pt>
                <c:pt idx="50">
                  <c:v>2011 apr</c:v>
                </c:pt>
                <c:pt idx="51">
                  <c:v>2011 may</c:v>
                </c:pt>
                <c:pt idx="52">
                  <c:v>2011 jun</c:v>
                </c:pt>
                <c:pt idx="53">
                  <c:v>2011 jul</c:v>
                </c:pt>
                <c:pt idx="54">
                  <c:v>2011 aug</c:v>
                </c:pt>
                <c:pt idx="55">
                  <c:v>2011 sep</c:v>
                </c:pt>
                <c:pt idx="56">
                  <c:v>2011 oct</c:v>
                </c:pt>
                <c:pt idx="57">
                  <c:v>2011 nov</c:v>
                </c:pt>
                <c:pt idx="58">
                  <c:v>2011 dec</c:v>
                </c:pt>
                <c:pt idx="59">
                  <c:v>2012 jan</c:v>
                </c:pt>
                <c:pt idx="60">
                  <c:v>2012 feb</c:v>
                </c:pt>
                <c:pt idx="61">
                  <c:v>2012 mar</c:v>
                </c:pt>
                <c:pt idx="62">
                  <c:v>2012 apr</c:v>
                </c:pt>
                <c:pt idx="63">
                  <c:v>2012 may</c:v>
                </c:pt>
                <c:pt idx="64">
                  <c:v>2012 jun</c:v>
                </c:pt>
                <c:pt idx="65">
                  <c:v>2012 jul</c:v>
                </c:pt>
                <c:pt idx="66">
                  <c:v>2012 aug</c:v>
                </c:pt>
                <c:pt idx="67">
                  <c:v>2012 sep</c:v>
                </c:pt>
                <c:pt idx="68">
                  <c:v>2012 oct</c:v>
                </c:pt>
                <c:pt idx="69">
                  <c:v>2012 nov</c:v>
                </c:pt>
                <c:pt idx="70">
                  <c:v>2012 dec</c:v>
                </c:pt>
                <c:pt idx="71">
                  <c:v>2013 jan</c:v>
                </c:pt>
                <c:pt idx="72">
                  <c:v>2013 feb</c:v>
                </c:pt>
                <c:pt idx="73">
                  <c:v>2013 mar</c:v>
                </c:pt>
                <c:pt idx="74">
                  <c:v>2013 apr</c:v>
                </c:pt>
                <c:pt idx="75">
                  <c:v>2013 may</c:v>
                </c:pt>
                <c:pt idx="76">
                  <c:v>2013 jun</c:v>
                </c:pt>
                <c:pt idx="77">
                  <c:v>2013 jul</c:v>
                </c:pt>
                <c:pt idx="78">
                  <c:v>2013 aug</c:v>
                </c:pt>
                <c:pt idx="79">
                  <c:v>2013 sep</c:v>
                </c:pt>
                <c:pt idx="80">
                  <c:v>2013 oct</c:v>
                </c:pt>
                <c:pt idx="81">
                  <c:v>2013 nov</c:v>
                </c:pt>
                <c:pt idx="82">
                  <c:v>2013 dec</c:v>
                </c:pt>
                <c:pt idx="83">
                  <c:v>2014 jan</c:v>
                </c:pt>
                <c:pt idx="84">
                  <c:v>2014 feb</c:v>
                </c:pt>
                <c:pt idx="85">
                  <c:v>2014 mar</c:v>
                </c:pt>
                <c:pt idx="86">
                  <c:v>2014 apr</c:v>
                </c:pt>
                <c:pt idx="87">
                  <c:v>2014 may</c:v>
                </c:pt>
                <c:pt idx="88">
                  <c:v>2014 jun</c:v>
                </c:pt>
                <c:pt idx="89">
                  <c:v>2014 jul</c:v>
                </c:pt>
                <c:pt idx="90">
                  <c:v>2014 aug</c:v>
                </c:pt>
                <c:pt idx="91">
                  <c:v>2014 sep</c:v>
                </c:pt>
                <c:pt idx="92">
                  <c:v>2014 oct</c:v>
                </c:pt>
                <c:pt idx="93">
                  <c:v>2014 nov</c:v>
                </c:pt>
                <c:pt idx="94">
                  <c:v>2015 jan</c:v>
                </c:pt>
                <c:pt idx="95">
                  <c:v>2015 feb</c:v>
                </c:pt>
                <c:pt idx="96">
                  <c:v>2015 mar</c:v>
                </c:pt>
                <c:pt idx="97">
                  <c:v>2015 apr</c:v>
                </c:pt>
                <c:pt idx="98">
                  <c:v>2015 may</c:v>
                </c:pt>
                <c:pt idx="99">
                  <c:v>2015 jun</c:v>
                </c:pt>
                <c:pt idx="100">
                  <c:v>2015 jul</c:v>
                </c:pt>
                <c:pt idx="101">
                  <c:v>2015 aug</c:v>
                </c:pt>
                <c:pt idx="102">
                  <c:v>2015 sep</c:v>
                </c:pt>
                <c:pt idx="103">
                  <c:v>2015 oct</c:v>
                </c:pt>
                <c:pt idx="104">
                  <c:v>2015 nov</c:v>
                </c:pt>
                <c:pt idx="105">
                  <c:v>2015 dec</c:v>
                </c:pt>
                <c:pt idx="106">
                  <c:v>2016 jan</c:v>
                </c:pt>
                <c:pt idx="107">
                  <c:v>2016 feb</c:v>
                </c:pt>
                <c:pt idx="108">
                  <c:v>2016 mar</c:v>
                </c:pt>
                <c:pt idx="109">
                  <c:v>2016 apr</c:v>
                </c:pt>
                <c:pt idx="110">
                  <c:v>2016 may</c:v>
                </c:pt>
                <c:pt idx="111">
                  <c:v>2016 june </c:v>
                </c:pt>
                <c:pt idx="112">
                  <c:v>2016 jul</c:v>
                </c:pt>
                <c:pt idx="113">
                  <c:v>2016 aug</c:v>
                </c:pt>
                <c:pt idx="114">
                  <c:v>2016 sep</c:v>
                </c:pt>
                <c:pt idx="115">
                  <c:v>2016 oct</c:v>
                </c:pt>
                <c:pt idx="116">
                  <c:v>2016 nov</c:v>
                </c:pt>
                <c:pt idx="117">
                  <c:v>2016 dec</c:v>
                </c:pt>
                <c:pt idx="118">
                  <c:v>2017 jan </c:v>
                </c:pt>
                <c:pt idx="119">
                  <c:v>2017 feb</c:v>
                </c:pt>
                <c:pt idx="120">
                  <c:v>2017 mar</c:v>
                </c:pt>
                <c:pt idx="121">
                  <c:v>2017 apr</c:v>
                </c:pt>
                <c:pt idx="122">
                  <c:v>2017 may</c:v>
                </c:pt>
                <c:pt idx="123">
                  <c:v>2017 june</c:v>
                </c:pt>
                <c:pt idx="124">
                  <c:v>2017 jul</c:v>
                </c:pt>
                <c:pt idx="125">
                  <c:v>2017 aug</c:v>
                </c:pt>
                <c:pt idx="126">
                  <c:v>2017 sep</c:v>
                </c:pt>
                <c:pt idx="127">
                  <c:v>2017 oct</c:v>
                </c:pt>
                <c:pt idx="128">
                  <c:v>2017 nov</c:v>
                </c:pt>
                <c:pt idx="129">
                  <c:v>2017 dec</c:v>
                </c:pt>
                <c:pt idx="130">
                  <c:v>2018 jan</c:v>
                </c:pt>
                <c:pt idx="131">
                  <c:v>2018 feb</c:v>
                </c:pt>
                <c:pt idx="132">
                  <c:v>2018 mar</c:v>
                </c:pt>
                <c:pt idx="133">
                  <c:v>2018 apr</c:v>
                </c:pt>
                <c:pt idx="134">
                  <c:v>2018 may</c:v>
                </c:pt>
                <c:pt idx="135">
                  <c:v>2018 june</c:v>
                </c:pt>
                <c:pt idx="136">
                  <c:v>2018 jul</c:v>
                </c:pt>
              </c:strCache>
            </c:strRef>
          </c:cat>
          <c:val>
            <c:numRef>
              <c:f>Sheet1!$B$2:$B$138</c:f>
              <c:numCache>
                <c:formatCode>General</c:formatCode>
                <c:ptCount val="137"/>
                <c:pt idx="0">
                  <c:v>94.95</c:v>
                </c:pt>
                <c:pt idx="1">
                  <c:v>95.68</c:v>
                </c:pt>
                <c:pt idx="2">
                  <c:v>94.8</c:v>
                </c:pt>
                <c:pt idx="3">
                  <c:v>95.11</c:v>
                </c:pt>
                <c:pt idx="4">
                  <c:v>95.24</c:v>
                </c:pt>
                <c:pt idx="5">
                  <c:v>94.64</c:v>
                </c:pt>
                <c:pt idx="6">
                  <c:v>93.05</c:v>
                </c:pt>
                <c:pt idx="7">
                  <c:v>93.4</c:v>
                </c:pt>
                <c:pt idx="8">
                  <c:v>92.41</c:v>
                </c:pt>
                <c:pt idx="9">
                  <c:v>92.67</c:v>
                </c:pt>
                <c:pt idx="10">
                  <c:v>91.28</c:v>
                </c:pt>
                <c:pt idx="11">
                  <c:v>90.83</c:v>
                </c:pt>
                <c:pt idx="12">
                  <c:v>89.63</c:v>
                </c:pt>
                <c:pt idx="13">
                  <c:v>89.23</c:v>
                </c:pt>
                <c:pt idx="14">
                  <c:v>88.8</c:v>
                </c:pt>
                <c:pt idx="15">
                  <c:v>87.76</c:v>
                </c:pt>
                <c:pt idx="16">
                  <c:v>88.86</c:v>
                </c:pt>
                <c:pt idx="17">
                  <c:v>87.05</c:v>
                </c:pt>
                <c:pt idx="18">
                  <c:v>86.26</c:v>
                </c:pt>
                <c:pt idx="19">
                  <c:v>83.99</c:v>
                </c:pt>
                <c:pt idx="20">
                  <c:v>83.48</c:v>
                </c:pt>
                <c:pt idx="21">
                  <c:v>81.05</c:v>
                </c:pt>
                <c:pt idx="22">
                  <c:v>79.64</c:v>
                </c:pt>
                <c:pt idx="23">
                  <c:v>79.760000000000005</c:v>
                </c:pt>
                <c:pt idx="24">
                  <c:v>78.88</c:v>
                </c:pt>
                <c:pt idx="25">
                  <c:v>78.17</c:v>
                </c:pt>
                <c:pt idx="26">
                  <c:v>79.040000000000006</c:v>
                </c:pt>
                <c:pt idx="27">
                  <c:v>81.209999999999994</c:v>
                </c:pt>
                <c:pt idx="28">
                  <c:v>82.25</c:v>
                </c:pt>
                <c:pt idx="29">
                  <c:v>82.63</c:v>
                </c:pt>
                <c:pt idx="30">
                  <c:v>84.87</c:v>
                </c:pt>
                <c:pt idx="31">
                  <c:v>85.99</c:v>
                </c:pt>
                <c:pt idx="32">
                  <c:v>85.84</c:v>
                </c:pt>
                <c:pt idx="33">
                  <c:v>86.27</c:v>
                </c:pt>
                <c:pt idx="34">
                  <c:v>86.62</c:v>
                </c:pt>
                <c:pt idx="35">
                  <c:v>88.11</c:v>
                </c:pt>
                <c:pt idx="36">
                  <c:v>88.11</c:v>
                </c:pt>
                <c:pt idx="37">
                  <c:v>87.9</c:v>
                </c:pt>
                <c:pt idx="38">
                  <c:v>89.4</c:v>
                </c:pt>
                <c:pt idx="39">
                  <c:v>88.52</c:v>
                </c:pt>
                <c:pt idx="40">
                  <c:v>86.96</c:v>
                </c:pt>
                <c:pt idx="41">
                  <c:v>86.53</c:v>
                </c:pt>
                <c:pt idx="42">
                  <c:v>86.54</c:v>
                </c:pt>
                <c:pt idx="43">
                  <c:v>85.88</c:v>
                </c:pt>
                <c:pt idx="44">
                  <c:v>87.32</c:v>
                </c:pt>
                <c:pt idx="45">
                  <c:v>87.29</c:v>
                </c:pt>
                <c:pt idx="46">
                  <c:v>87.07</c:v>
                </c:pt>
                <c:pt idx="47">
                  <c:v>88.55</c:v>
                </c:pt>
                <c:pt idx="48">
                  <c:v>89.89</c:v>
                </c:pt>
                <c:pt idx="49">
                  <c:v>88.73</c:v>
                </c:pt>
                <c:pt idx="50">
                  <c:v>88.25</c:v>
                </c:pt>
                <c:pt idx="51">
                  <c:v>88.47</c:v>
                </c:pt>
                <c:pt idx="52">
                  <c:v>88.57</c:v>
                </c:pt>
                <c:pt idx="53">
                  <c:v>87.85</c:v>
                </c:pt>
                <c:pt idx="54">
                  <c:v>86.83</c:v>
                </c:pt>
                <c:pt idx="55">
                  <c:v>85.62</c:v>
                </c:pt>
                <c:pt idx="56">
                  <c:v>86.85</c:v>
                </c:pt>
                <c:pt idx="57">
                  <c:v>88.46</c:v>
                </c:pt>
                <c:pt idx="58">
                  <c:v>86.63</c:v>
                </c:pt>
                <c:pt idx="59">
                  <c:v>89.9</c:v>
                </c:pt>
                <c:pt idx="60">
                  <c:v>89.3</c:v>
                </c:pt>
                <c:pt idx="61">
                  <c:v>88.8</c:v>
                </c:pt>
                <c:pt idx="62">
                  <c:v>88.5</c:v>
                </c:pt>
                <c:pt idx="63">
                  <c:v>88.8</c:v>
                </c:pt>
                <c:pt idx="64">
                  <c:v>87.8</c:v>
                </c:pt>
                <c:pt idx="65">
                  <c:v>87.74</c:v>
                </c:pt>
                <c:pt idx="66">
                  <c:v>87.49</c:v>
                </c:pt>
                <c:pt idx="67">
                  <c:v>87.69</c:v>
                </c:pt>
                <c:pt idx="68">
                  <c:v>89.73</c:v>
                </c:pt>
                <c:pt idx="69">
                  <c:v>89.97</c:v>
                </c:pt>
                <c:pt idx="70">
                  <c:v>89.59</c:v>
                </c:pt>
                <c:pt idx="71">
                  <c:v>89.5</c:v>
                </c:pt>
                <c:pt idx="72">
                  <c:v>89.3</c:v>
                </c:pt>
                <c:pt idx="73">
                  <c:v>89</c:v>
                </c:pt>
                <c:pt idx="74">
                  <c:v>90.16</c:v>
                </c:pt>
                <c:pt idx="75">
                  <c:v>90.26</c:v>
                </c:pt>
                <c:pt idx="76">
                  <c:v>90.16</c:v>
                </c:pt>
                <c:pt idx="77">
                  <c:v>90.64</c:v>
                </c:pt>
                <c:pt idx="78">
                  <c:v>94.2</c:v>
                </c:pt>
                <c:pt idx="79">
                  <c:v>96.41</c:v>
                </c:pt>
                <c:pt idx="80">
                  <c:v>96.52</c:v>
                </c:pt>
                <c:pt idx="81">
                  <c:v>97.19</c:v>
                </c:pt>
                <c:pt idx="82">
                  <c:v>97.95</c:v>
                </c:pt>
                <c:pt idx="83">
                  <c:v>96.72</c:v>
                </c:pt>
                <c:pt idx="84">
                  <c:v>95.2</c:v>
                </c:pt>
                <c:pt idx="85">
                  <c:v>99.9</c:v>
                </c:pt>
                <c:pt idx="86">
                  <c:v>100.2</c:v>
                </c:pt>
                <c:pt idx="87">
                  <c:v>94.34</c:v>
                </c:pt>
                <c:pt idx="88">
                  <c:v>94.25</c:v>
                </c:pt>
                <c:pt idx="89">
                  <c:v>95.86</c:v>
                </c:pt>
                <c:pt idx="90">
                  <c:v>95.83</c:v>
                </c:pt>
                <c:pt idx="91">
                  <c:v>94.48</c:v>
                </c:pt>
                <c:pt idx="92">
                  <c:v>94.45</c:v>
                </c:pt>
                <c:pt idx="93">
                  <c:v>94.68</c:v>
                </c:pt>
                <c:pt idx="94">
                  <c:v>93.82</c:v>
                </c:pt>
                <c:pt idx="95">
                  <c:v>92.26</c:v>
                </c:pt>
                <c:pt idx="96">
                  <c:v>92.32</c:v>
                </c:pt>
                <c:pt idx="97">
                  <c:v>91.49</c:v>
                </c:pt>
                <c:pt idx="98">
                  <c:v>92.25</c:v>
                </c:pt>
                <c:pt idx="99">
                  <c:v>92.22</c:v>
                </c:pt>
                <c:pt idx="100">
                  <c:v>91.49</c:v>
                </c:pt>
                <c:pt idx="101">
                  <c:v>91.78</c:v>
                </c:pt>
                <c:pt idx="102">
                  <c:v>91.45</c:v>
                </c:pt>
                <c:pt idx="103">
                  <c:v>90.73</c:v>
                </c:pt>
                <c:pt idx="104">
                  <c:v>91.87</c:v>
                </c:pt>
                <c:pt idx="105">
                  <c:v>90.92</c:v>
                </c:pt>
                <c:pt idx="106">
                  <c:v>95.77</c:v>
                </c:pt>
                <c:pt idx="107">
                  <c:v>93.73</c:v>
                </c:pt>
                <c:pt idx="108">
                  <c:v>94.69</c:v>
                </c:pt>
                <c:pt idx="109">
                  <c:v>94.33</c:v>
                </c:pt>
                <c:pt idx="110">
                  <c:v>97.57</c:v>
                </c:pt>
                <c:pt idx="111">
                  <c:v>94.57</c:v>
                </c:pt>
                <c:pt idx="112">
                  <c:v>94.61</c:v>
                </c:pt>
                <c:pt idx="113">
                  <c:v>95.83</c:v>
                </c:pt>
                <c:pt idx="114">
                  <c:v>94.42</c:v>
                </c:pt>
                <c:pt idx="115">
                  <c:v>94.28</c:v>
                </c:pt>
                <c:pt idx="116">
                  <c:v>94.01</c:v>
                </c:pt>
                <c:pt idx="117">
                  <c:v>96.63</c:v>
                </c:pt>
                <c:pt idx="118">
                  <c:v>96.71</c:v>
                </c:pt>
                <c:pt idx="119">
                  <c:v>97.11</c:v>
                </c:pt>
                <c:pt idx="120">
                  <c:v>98.8</c:v>
                </c:pt>
                <c:pt idx="121">
                  <c:v>98.4</c:v>
                </c:pt>
                <c:pt idx="122">
                  <c:v>96.23</c:v>
                </c:pt>
                <c:pt idx="123">
                  <c:v>97.83</c:v>
                </c:pt>
                <c:pt idx="124">
                  <c:v>97.85</c:v>
                </c:pt>
                <c:pt idx="125">
                  <c:v>98.87</c:v>
                </c:pt>
                <c:pt idx="126">
                  <c:v>98.12</c:v>
                </c:pt>
                <c:pt idx="127">
                  <c:v>97.67</c:v>
                </c:pt>
                <c:pt idx="128">
                  <c:v>100.04</c:v>
                </c:pt>
                <c:pt idx="129">
                  <c:v>99.83</c:v>
                </c:pt>
                <c:pt idx="130">
                  <c:v>99.36</c:v>
                </c:pt>
                <c:pt idx="131">
                  <c:v>99.97</c:v>
                </c:pt>
                <c:pt idx="132">
                  <c:v>100.86</c:v>
                </c:pt>
                <c:pt idx="133">
                  <c:v>99.16</c:v>
                </c:pt>
                <c:pt idx="134">
                  <c:v>99.24</c:v>
                </c:pt>
                <c:pt idx="135">
                  <c:v>99.09</c:v>
                </c:pt>
                <c:pt idx="136">
                  <c:v>100.03</c:v>
                </c:pt>
              </c:numCache>
            </c:numRef>
          </c:val>
          <c:smooth val="0"/>
          <c:extLst>
            <c:ext xmlns:c16="http://schemas.microsoft.com/office/drawing/2014/chart" uri="{C3380CC4-5D6E-409C-BE32-E72D297353CC}">
              <c16:uniqueId val="{00000000-5257-DB41-BA28-B317856C9D7C}"/>
            </c:ext>
          </c:extLst>
        </c:ser>
        <c:dLbls>
          <c:showLegendKey val="0"/>
          <c:showVal val="0"/>
          <c:showCatName val="0"/>
          <c:showSerName val="0"/>
          <c:showPercent val="0"/>
          <c:showBubbleSize val="0"/>
        </c:dLbls>
        <c:smooth val="0"/>
        <c:axId val="530242056"/>
        <c:axId val="530240096"/>
      </c:lineChart>
      <c:catAx>
        <c:axId val="530242056"/>
        <c:scaling>
          <c:orientation val="minMax"/>
        </c:scaling>
        <c:delete val="0"/>
        <c:axPos val="b"/>
        <c:title>
          <c:tx>
            <c:rich>
              <a:bodyPr/>
              <a:lstStyle/>
              <a:p>
                <a:pPr>
                  <a:defRPr sz="1000"/>
                </a:pPr>
                <a:r>
                  <a:rPr lang="en-US" sz="1000" dirty="0"/>
                  <a:t>Source:</a:t>
                </a:r>
                <a:r>
                  <a:rPr lang="en-US" sz="1000" baseline="0" dirty="0"/>
                  <a:t>  calculations by Dr. Michael Walden</a:t>
                </a:r>
                <a:endParaRPr lang="en-US" sz="1000" dirty="0"/>
              </a:p>
            </c:rich>
          </c:tx>
          <c:overlay val="0"/>
        </c:title>
        <c:numFmt formatCode="General" sourceLinked="0"/>
        <c:majorTickMark val="out"/>
        <c:minorTickMark val="none"/>
        <c:tickLblPos val="nextTo"/>
        <c:txPr>
          <a:bodyPr rot="-5400000" vert="horz"/>
          <a:lstStyle/>
          <a:p>
            <a:pPr>
              <a:defRPr sz="900"/>
            </a:pPr>
            <a:endParaRPr lang="en-US"/>
          </a:p>
        </c:txPr>
        <c:crossAx val="530240096"/>
        <c:crosses val="autoZero"/>
        <c:auto val="1"/>
        <c:lblAlgn val="r"/>
        <c:lblOffset val="100"/>
        <c:tickLblSkip val="3"/>
        <c:noMultiLvlLbl val="0"/>
      </c:catAx>
      <c:valAx>
        <c:axId val="530240096"/>
        <c:scaling>
          <c:orientation val="minMax"/>
          <c:min val="70"/>
        </c:scaling>
        <c:delete val="0"/>
        <c:axPos val="l"/>
        <c:majorGridlines/>
        <c:numFmt formatCode="General" sourceLinked="1"/>
        <c:majorTickMark val="out"/>
        <c:minorTickMark val="none"/>
        <c:tickLblPos val="nextTo"/>
        <c:txPr>
          <a:bodyPr/>
          <a:lstStyle/>
          <a:p>
            <a:pPr>
              <a:defRPr sz="1000"/>
            </a:pPr>
            <a:endParaRPr lang="en-US"/>
          </a:p>
        </c:txPr>
        <c:crossAx val="530242056"/>
        <c:crosses val="autoZero"/>
        <c:crossBetween val="between"/>
      </c:valAx>
    </c:plotArea>
    <c:plotVisOnly val="1"/>
    <c:dispBlanksAs val="gap"/>
    <c:showDLblsOverMax val="0"/>
  </c:chart>
  <c:spPr>
    <a:ln w="38100"/>
  </c:spPr>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D3A2-DE4E-8708-E2B73AB505C4}"/>
              </c:ext>
            </c:extLst>
          </c:dPt>
          <c:dPt>
            <c:idx val="1"/>
            <c:invertIfNegative val="0"/>
            <c:bubble3D val="0"/>
            <c:spPr>
              <a:solidFill>
                <a:srgbClr val="FF0000"/>
              </a:solidFill>
              <a:ln>
                <a:noFill/>
              </a:ln>
              <a:effectLst/>
            </c:spPr>
            <c:extLst>
              <c:ext xmlns:c16="http://schemas.microsoft.com/office/drawing/2014/chart" uri="{C3380CC4-5D6E-409C-BE32-E72D297353CC}">
                <c16:uniqueId val="{00000003-D3A2-DE4E-8708-E2B73AB505C4}"/>
              </c:ext>
            </c:extLst>
          </c:dPt>
          <c:dPt>
            <c:idx val="2"/>
            <c:invertIfNegative val="0"/>
            <c:bubble3D val="0"/>
            <c:spPr>
              <a:solidFill>
                <a:srgbClr val="FF0000"/>
              </a:solidFill>
              <a:ln>
                <a:noFill/>
              </a:ln>
              <a:effectLst/>
            </c:spPr>
            <c:extLst>
              <c:ext xmlns:c16="http://schemas.microsoft.com/office/drawing/2014/chart" uri="{C3380CC4-5D6E-409C-BE32-E72D297353CC}">
                <c16:uniqueId val="{00000005-D3A2-DE4E-8708-E2B73AB505C4}"/>
              </c:ext>
            </c:extLst>
          </c:dPt>
          <c:dPt>
            <c:idx val="3"/>
            <c:invertIfNegative val="0"/>
            <c:bubble3D val="0"/>
            <c:spPr>
              <a:solidFill>
                <a:schemeClr val="tx1"/>
              </a:solidFill>
              <a:ln>
                <a:noFill/>
              </a:ln>
              <a:effectLst/>
            </c:spPr>
            <c:extLst>
              <c:ext xmlns:c16="http://schemas.microsoft.com/office/drawing/2014/chart" uri="{C3380CC4-5D6E-409C-BE32-E72D297353CC}">
                <c16:uniqueId val="{00000007-D3A2-DE4E-8708-E2B73AB505C4}"/>
              </c:ext>
            </c:extLst>
          </c:dPt>
          <c:dPt>
            <c:idx val="4"/>
            <c:invertIfNegative val="0"/>
            <c:bubble3D val="0"/>
            <c:spPr>
              <a:solidFill>
                <a:schemeClr val="tx1"/>
              </a:solidFill>
              <a:ln>
                <a:noFill/>
              </a:ln>
              <a:effectLst/>
            </c:spPr>
            <c:extLst>
              <c:ext xmlns:c16="http://schemas.microsoft.com/office/drawing/2014/chart" uri="{C3380CC4-5D6E-409C-BE32-E72D297353CC}">
                <c16:uniqueId val="{00000009-D3A2-DE4E-8708-E2B73AB505C4}"/>
              </c:ext>
            </c:extLst>
          </c:dPt>
          <c:dPt>
            <c:idx val="5"/>
            <c:invertIfNegative val="0"/>
            <c:bubble3D val="0"/>
            <c:spPr>
              <a:solidFill>
                <a:schemeClr val="tx1"/>
              </a:solidFill>
              <a:ln>
                <a:noFill/>
              </a:ln>
              <a:effectLst/>
            </c:spPr>
            <c:extLst>
              <c:ext xmlns:c16="http://schemas.microsoft.com/office/drawing/2014/chart" uri="{C3380CC4-5D6E-409C-BE32-E72D297353CC}">
                <c16:uniqueId val="{0000000B-D3A2-DE4E-8708-E2B73AB505C4}"/>
              </c:ext>
            </c:extLst>
          </c:dPt>
          <c:dPt>
            <c:idx val="6"/>
            <c:invertIfNegative val="0"/>
            <c:bubble3D val="0"/>
            <c:spPr>
              <a:solidFill>
                <a:schemeClr val="tx1"/>
              </a:solidFill>
              <a:ln>
                <a:noFill/>
              </a:ln>
              <a:effectLst/>
            </c:spPr>
            <c:extLst>
              <c:ext xmlns:c16="http://schemas.microsoft.com/office/drawing/2014/chart" uri="{C3380CC4-5D6E-409C-BE32-E72D297353CC}">
                <c16:uniqueId val="{0000000D-D3A2-DE4E-8708-E2B73AB505C4}"/>
              </c:ext>
            </c:extLst>
          </c:dPt>
          <c:dPt>
            <c:idx val="7"/>
            <c:invertIfNegative val="0"/>
            <c:bubble3D val="0"/>
            <c:spPr>
              <a:solidFill>
                <a:schemeClr val="tx1"/>
              </a:solidFill>
              <a:ln>
                <a:noFill/>
              </a:ln>
              <a:effectLst/>
            </c:spPr>
            <c:extLst>
              <c:ext xmlns:c16="http://schemas.microsoft.com/office/drawing/2014/chart" uri="{C3380CC4-5D6E-409C-BE32-E72D297353CC}">
                <c16:uniqueId val="{0000000F-D3A2-DE4E-8708-E2B73AB505C4}"/>
              </c:ext>
            </c:extLst>
          </c:dPt>
          <c:dPt>
            <c:idx val="8"/>
            <c:invertIfNegative val="0"/>
            <c:bubble3D val="0"/>
            <c:spPr>
              <a:solidFill>
                <a:schemeClr val="tx1"/>
              </a:solidFill>
              <a:ln>
                <a:noFill/>
              </a:ln>
              <a:effectLst/>
            </c:spPr>
            <c:extLst>
              <c:ext xmlns:c16="http://schemas.microsoft.com/office/drawing/2014/chart" uri="{C3380CC4-5D6E-409C-BE32-E72D297353CC}">
                <c16:uniqueId val="{00000011-D3A2-DE4E-8708-E2B73AB505C4}"/>
              </c:ext>
            </c:extLst>
          </c:dPt>
          <c:dPt>
            <c:idx val="9"/>
            <c:invertIfNegative val="0"/>
            <c:bubble3D val="0"/>
            <c:spPr>
              <a:solidFill>
                <a:schemeClr val="tx1"/>
              </a:solidFill>
              <a:ln>
                <a:noFill/>
              </a:ln>
              <a:effectLst/>
            </c:spPr>
            <c:extLst>
              <c:ext xmlns:c16="http://schemas.microsoft.com/office/drawing/2014/chart" uri="{C3380CC4-5D6E-409C-BE32-E72D297353CC}">
                <c16:uniqueId val="{00000013-D3A2-DE4E-8708-E2B73AB505C4}"/>
              </c:ext>
            </c:extLst>
          </c:dPt>
          <c:dPt>
            <c:idx val="10"/>
            <c:invertIfNegative val="0"/>
            <c:bubble3D val="0"/>
            <c:spPr>
              <a:solidFill>
                <a:schemeClr val="tx1"/>
              </a:solidFill>
              <a:ln>
                <a:noFill/>
              </a:ln>
              <a:effectLst/>
            </c:spPr>
            <c:extLst>
              <c:ext xmlns:c16="http://schemas.microsoft.com/office/drawing/2014/chart" uri="{C3380CC4-5D6E-409C-BE32-E72D297353CC}">
                <c16:uniqueId val="{00000015-D3A2-DE4E-8708-E2B73AB505C4}"/>
              </c:ext>
            </c:extLst>
          </c:dPt>
          <c:dPt>
            <c:idx val="11"/>
            <c:invertIfNegative val="0"/>
            <c:bubble3D val="0"/>
            <c:spPr>
              <a:solidFill>
                <a:schemeClr val="tx1"/>
              </a:solidFill>
              <a:ln>
                <a:noFill/>
              </a:ln>
              <a:effectLst/>
            </c:spPr>
            <c:extLst>
              <c:ext xmlns:c16="http://schemas.microsoft.com/office/drawing/2014/chart" uri="{C3380CC4-5D6E-409C-BE32-E72D297353CC}">
                <c16:uniqueId val="{00000017-D3A2-DE4E-8708-E2B73AB505C4}"/>
              </c:ext>
            </c:extLst>
          </c:dPt>
          <c:dPt>
            <c:idx val="12"/>
            <c:invertIfNegative val="0"/>
            <c:bubble3D val="0"/>
            <c:spPr>
              <a:solidFill>
                <a:schemeClr val="tx1"/>
              </a:solidFill>
              <a:ln>
                <a:noFill/>
              </a:ln>
              <a:effectLst/>
            </c:spPr>
            <c:extLst>
              <c:ext xmlns:c16="http://schemas.microsoft.com/office/drawing/2014/chart" uri="{C3380CC4-5D6E-409C-BE32-E72D297353CC}">
                <c16:uniqueId val="{00000019-D3A2-DE4E-8708-E2B73AB505C4}"/>
              </c:ext>
            </c:extLst>
          </c:dPt>
          <c:dPt>
            <c:idx val="13"/>
            <c:invertIfNegative val="0"/>
            <c:bubble3D val="0"/>
            <c:spPr>
              <a:solidFill>
                <a:schemeClr val="tx1"/>
              </a:solidFill>
              <a:ln>
                <a:noFill/>
              </a:ln>
              <a:effectLst/>
            </c:spPr>
            <c:extLst>
              <c:ext xmlns:c16="http://schemas.microsoft.com/office/drawing/2014/chart" uri="{C3380CC4-5D6E-409C-BE32-E72D297353CC}">
                <c16:uniqueId val="{0000001B-D3A2-DE4E-8708-E2B73AB505C4}"/>
              </c:ext>
            </c:extLst>
          </c:dPt>
          <c:dPt>
            <c:idx val="14"/>
            <c:invertIfNegative val="0"/>
            <c:bubble3D val="0"/>
            <c:spPr>
              <a:solidFill>
                <a:schemeClr val="tx1"/>
              </a:solidFill>
              <a:ln>
                <a:noFill/>
              </a:ln>
              <a:effectLst/>
            </c:spPr>
            <c:extLst>
              <c:ext xmlns:c16="http://schemas.microsoft.com/office/drawing/2014/chart" uri="{C3380CC4-5D6E-409C-BE32-E72D297353CC}">
                <c16:uniqueId val="{0000001D-D3A2-DE4E-8708-E2B73AB505C4}"/>
              </c:ext>
            </c:extLst>
          </c:dPt>
          <c:dPt>
            <c:idx val="15"/>
            <c:invertIfNegative val="0"/>
            <c:bubble3D val="0"/>
            <c:spPr>
              <a:solidFill>
                <a:schemeClr val="tx1"/>
              </a:solidFill>
              <a:ln>
                <a:noFill/>
              </a:ln>
              <a:effectLst/>
            </c:spPr>
            <c:extLst>
              <c:ext xmlns:c16="http://schemas.microsoft.com/office/drawing/2014/chart" uri="{C3380CC4-5D6E-409C-BE32-E72D297353CC}">
                <c16:uniqueId val="{0000001F-D3A2-DE4E-8708-E2B73AB505C4}"/>
              </c:ext>
            </c:extLst>
          </c:dPt>
          <c:dPt>
            <c:idx val="16"/>
            <c:invertIfNegative val="0"/>
            <c:bubble3D val="0"/>
            <c:spPr>
              <a:solidFill>
                <a:schemeClr val="tx1"/>
              </a:solidFill>
              <a:ln>
                <a:noFill/>
              </a:ln>
              <a:effectLst/>
            </c:spPr>
            <c:extLst>
              <c:ext xmlns:c16="http://schemas.microsoft.com/office/drawing/2014/chart" uri="{C3380CC4-5D6E-409C-BE32-E72D297353CC}">
                <c16:uniqueId val="{00000021-D3A2-DE4E-8708-E2B73AB505C4}"/>
              </c:ext>
            </c:extLst>
          </c:dPt>
          <c:cat>
            <c:strRef>
              <c:f>Sheet1!$A$2:$A$18</c:f>
              <c:strCache>
                <c:ptCount val="17"/>
                <c:pt idx="0">
                  <c:v>Farming </c:v>
                </c:pt>
                <c:pt idx="1">
                  <c:v>Finance</c:v>
                </c:pt>
                <c:pt idx="2">
                  <c:v>Hotels/food service</c:v>
                </c:pt>
                <c:pt idx="3">
                  <c:v>Other services</c:v>
                </c:pt>
                <c:pt idx="4">
                  <c:v>Entertainment</c:v>
                </c:pt>
                <c:pt idx="5">
                  <c:v>Real estate</c:v>
                </c:pt>
                <c:pt idx="6">
                  <c:v>Construction</c:v>
                </c:pt>
                <c:pt idx="7">
                  <c:v>Health care</c:v>
                </c:pt>
                <c:pt idx="8">
                  <c:v>Retail trade</c:v>
                </c:pt>
                <c:pt idx="9">
                  <c:v>Transportation</c:v>
                </c:pt>
                <c:pt idx="10">
                  <c:v>Professional services</c:v>
                </c:pt>
                <c:pt idx="11">
                  <c:v>Wholesale trade</c:v>
                </c:pt>
                <c:pt idx="12">
                  <c:v>Clerical services</c:v>
                </c:pt>
                <c:pt idx="13">
                  <c:v>Information</c:v>
                </c:pt>
                <c:pt idx="14">
                  <c:v>Nondurable manuf</c:v>
                </c:pt>
                <c:pt idx="15">
                  <c:v>Educational services</c:v>
                </c:pt>
                <c:pt idx="16">
                  <c:v>Durable manuf</c:v>
                </c:pt>
              </c:strCache>
            </c:strRef>
          </c:cat>
          <c:val>
            <c:numRef>
              <c:f>Sheet1!$B$2:$B$18</c:f>
              <c:numCache>
                <c:formatCode>General</c:formatCode>
                <c:ptCount val="17"/>
                <c:pt idx="0">
                  <c:v>-3.1</c:v>
                </c:pt>
                <c:pt idx="1">
                  <c:v>-1</c:v>
                </c:pt>
                <c:pt idx="2">
                  <c:v>-0.5</c:v>
                </c:pt>
                <c:pt idx="3">
                  <c:v>0.3</c:v>
                </c:pt>
                <c:pt idx="4">
                  <c:v>1.2</c:v>
                </c:pt>
                <c:pt idx="5">
                  <c:v>1.7</c:v>
                </c:pt>
                <c:pt idx="6">
                  <c:v>2.1</c:v>
                </c:pt>
                <c:pt idx="7">
                  <c:v>2.6</c:v>
                </c:pt>
                <c:pt idx="8">
                  <c:v>2.7</c:v>
                </c:pt>
                <c:pt idx="9">
                  <c:v>3</c:v>
                </c:pt>
                <c:pt idx="10">
                  <c:v>3.1</c:v>
                </c:pt>
                <c:pt idx="11">
                  <c:v>3.1</c:v>
                </c:pt>
                <c:pt idx="12">
                  <c:v>3.9</c:v>
                </c:pt>
                <c:pt idx="13">
                  <c:v>4.2</c:v>
                </c:pt>
                <c:pt idx="14">
                  <c:v>4.7</c:v>
                </c:pt>
                <c:pt idx="15">
                  <c:v>5.8</c:v>
                </c:pt>
                <c:pt idx="16">
                  <c:v>6</c:v>
                </c:pt>
              </c:numCache>
            </c:numRef>
          </c:val>
          <c:extLst>
            <c:ext xmlns:c16="http://schemas.microsoft.com/office/drawing/2014/chart" uri="{C3380CC4-5D6E-409C-BE32-E72D297353CC}">
              <c16:uniqueId val="{00000022-D3A2-DE4E-8708-E2B73AB505C4}"/>
            </c:ext>
          </c:extLst>
        </c:ser>
        <c:dLbls>
          <c:showLegendKey val="0"/>
          <c:showVal val="0"/>
          <c:showCatName val="0"/>
          <c:showSerName val="0"/>
          <c:showPercent val="0"/>
          <c:showBubbleSize val="0"/>
        </c:dLbls>
        <c:gapWidth val="182"/>
        <c:axId val="417585064"/>
        <c:axId val="417590160"/>
      </c:barChart>
      <c:catAx>
        <c:axId val="417585064"/>
        <c:scaling>
          <c:orientation val="minMax"/>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7590160"/>
        <c:crosses val="autoZero"/>
        <c:auto val="1"/>
        <c:lblAlgn val="ctr"/>
        <c:lblOffset val="100"/>
        <c:noMultiLvlLbl val="0"/>
      </c:catAx>
      <c:valAx>
        <c:axId val="41759016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506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c:v>
                </c:pt>
              </c:strCache>
            </c:strRef>
          </c:tx>
          <c:spPr>
            <a:solidFill>
              <a:srgbClr val="FF0000"/>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9.6999999999999993</c:v>
                </c:pt>
                <c:pt idx="1">
                  <c:v>10.6</c:v>
                </c:pt>
                <c:pt idx="2">
                  <c:v>10.7</c:v>
                </c:pt>
                <c:pt idx="3">
                  <c:v>7.9</c:v>
                </c:pt>
              </c:numCache>
            </c:numRef>
          </c:val>
          <c:extLst>
            <c:ext xmlns:c16="http://schemas.microsoft.com/office/drawing/2014/chart" uri="{C3380CC4-5D6E-409C-BE32-E72D297353CC}">
              <c16:uniqueId val="{00000000-E954-8B41-9C2D-66705F770B1D}"/>
            </c:ext>
          </c:extLst>
        </c:ser>
        <c:ser>
          <c:idx val="1"/>
          <c:order val="1"/>
          <c:tx>
            <c:strRef>
              <c:f>Sheet1!$C$1</c:f>
              <c:strCache>
                <c:ptCount val="1"/>
                <c:pt idx="0">
                  <c:v>US</c:v>
                </c:pt>
              </c:strCache>
            </c:strRef>
          </c:tx>
          <c:spPr>
            <a:solidFill>
              <a:schemeClr val="tx1"/>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12.4</c:v>
                </c:pt>
                <c:pt idx="1">
                  <c:v>2</c:v>
                </c:pt>
                <c:pt idx="2">
                  <c:v>6.2</c:v>
                </c:pt>
                <c:pt idx="3">
                  <c:v>5.0999999999999996</c:v>
                </c:pt>
              </c:numCache>
            </c:numRef>
          </c:val>
          <c:extLst>
            <c:ext xmlns:c16="http://schemas.microsoft.com/office/drawing/2014/chart" uri="{C3380CC4-5D6E-409C-BE32-E72D297353CC}">
              <c16:uniqueId val="{00000001-E954-8B41-9C2D-66705F770B1D}"/>
            </c:ext>
          </c:extLst>
        </c:ser>
        <c:ser>
          <c:idx val="2"/>
          <c:order val="2"/>
          <c:tx>
            <c:strRef>
              <c:f>Sheet1!$D$1</c:f>
              <c:strCache>
                <c:ptCount val="1"/>
                <c:pt idx="0">
                  <c:v>SE</c:v>
                </c:pt>
              </c:strCache>
            </c:strRef>
          </c:tx>
          <c:spPr>
            <a:solidFill>
              <a:srgbClr val="FFC000"/>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16.100000000000001</c:v>
                </c:pt>
                <c:pt idx="1">
                  <c:v>7.4</c:v>
                </c:pt>
                <c:pt idx="2">
                  <c:v>6.2</c:v>
                </c:pt>
                <c:pt idx="3">
                  <c:v>8.9</c:v>
                </c:pt>
              </c:numCache>
            </c:numRef>
          </c:val>
          <c:extLst>
            <c:ext xmlns:c16="http://schemas.microsoft.com/office/drawing/2014/chart" uri="{C3380CC4-5D6E-409C-BE32-E72D297353CC}">
              <c16:uniqueId val="{00000002-E954-8B41-9C2D-66705F770B1D}"/>
            </c:ext>
          </c:extLst>
        </c:ser>
        <c:dLbls>
          <c:showLegendKey val="0"/>
          <c:showVal val="0"/>
          <c:showCatName val="0"/>
          <c:showSerName val="0"/>
          <c:showPercent val="0"/>
          <c:showBubbleSize val="0"/>
        </c:dLbls>
        <c:gapWidth val="219"/>
        <c:overlap val="-27"/>
        <c:axId val="417590552"/>
        <c:axId val="417586632"/>
      </c:barChart>
      <c:catAx>
        <c:axId val="41759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6632"/>
        <c:crosses val="autoZero"/>
        <c:auto val="1"/>
        <c:lblAlgn val="ctr"/>
        <c:lblOffset val="100"/>
        <c:noMultiLvlLbl val="0"/>
      </c:catAx>
      <c:valAx>
        <c:axId val="417586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90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NC</c:v>
                </c:pt>
              </c:strCache>
            </c:strRef>
          </c:tx>
          <c:spPr>
            <a:solidFill>
              <a:srgbClr val="FF0000"/>
            </a:solidFill>
            <a:ln>
              <a:noFill/>
            </a:ln>
            <a:effectLst/>
          </c:spPr>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1.2</c:v>
                </c:pt>
                <c:pt idx="1">
                  <c:v>1.3</c:v>
                </c:pt>
                <c:pt idx="2">
                  <c:v>1.8</c:v>
                </c:pt>
                <c:pt idx="3">
                  <c:v>1.9</c:v>
                </c:pt>
                <c:pt idx="4">
                  <c:v>2.2999999999999998</c:v>
                </c:pt>
                <c:pt idx="5">
                  <c:v>2.5</c:v>
                </c:pt>
                <c:pt idx="6">
                  <c:v>2.1</c:v>
                </c:pt>
                <c:pt idx="7">
                  <c:v>1.6</c:v>
                </c:pt>
                <c:pt idx="8">
                  <c:v>3.1</c:v>
                </c:pt>
              </c:numCache>
            </c:numRef>
          </c:val>
          <c:extLst>
            <c:ext xmlns:c16="http://schemas.microsoft.com/office/drawing/2014/chart" uri="{C3380CC4-5D6E-409C-BE32-E72D297353CC}">
              <c16:uniqueId val="{00000000-4773-3940-898A-38D19514525C}"/>
            </c:ext>
          </c:extLst>
        </c:ser>
        <c:ser>
          <c:idx val="1"/>
          <c:order val="1"/>
          <c:tx>
            <c:strRef>
              <c:f>Sheet1!$C$1</c:f>
              <c:strCache>
                <c:ptCount val="1"/>
                <c:pt idx="0">
                  <c:v>US</c:v>
                </c:pt>
              </c:strCache>
            </c:strRef>
          </c:tx>
          <c:spPr>
            <a:solidFill>
              <a:schemeClr val="tx2">
                <a:lumMod val="75000"/>
              </a:schemeClr>
            </a:solidFill>
            <a:ln>
              <a:noFill/>
            </a:ln>
            <a:effectLst/>
          </c:spPr>
          <c:invertIfNegative val="0"/>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0.8</c:v>
                </c:pt>
                <c:pt idx="1">
                  <c:v>1.6</c:v>
                </c:pt>
                <c:pt idx="2">
                  <c:v>1.6</c:v>
                </c:pt>
                <c:pt idx="3">
                  <c:v>1.7</c:v>
                </c:pt>
                <c:pt idx="4">
                  <c:v>2.2000000000000002</c:v>
                </c:pt>
                <c:pt idx="5">
                  <c:v>1.9</c:v>
                </c:pt>
                <c:pt idx="6">
                  <c:v>1.6</c:v>
                </c:pt>
                <c:pt idx="7">
                  <c:v>1.5</c:v>
                </c:pt>
                <c:pt idx="8">
                  <c:v>1.8</c:v>
                </c:pt>
              </c:numCache>
            </c:numRef>
          </c:val>
          <c:extLst>
            <c:ext xmlns:c16="http://schemas.microsoft.com/office/drawing/2014/chart" uri="{C3380CC4-5D6E-409C-BE32-E72D297353CC}">
              <c16:uniqueId val="{00000001-4773-3940-898A-38D19514525C}"/>
            </c:ext>
          </c:extLst>
        </c:ser>
        <c:dLbls>
          <c:showLegendKey val="0"/>
          <c:showVal val="0"/>
          <c:showCatName val="0"/>
          <c:showSerName val="0"/>
          <c:showPercent val="0"/>
          <c:showBubbleSize val="0"/>
        </c:dLbls>
        <c:gapWidth val="219"/>
        <c:overlap val="-27"/>
        <c:axId val="417588592"/>
        <c:axId val="417587024"/>
      </c:barChart>
      <c:catAx>
        <c:axId val="41758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7024"/>
        <c:crosses val="autoZero"/>
        <c:auto val="1"/>
        <c:lblAlgn val="ctr"/>
        <c:lblOffset val="100"/>
        <c:noMultiLvlLbl val="0"/>
      </c:catAx>
      <c:valAx>
        <c:axId val="417587024"/>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98920968212306E-2"/>
          <c:y val="6.2111801242236024E-2"/>
          <c:w val="0.9190529308836396"/>
          <c:h val="0.70458910027550903"/>
        </c:manualLayout>
      </c:layout>
      <c:barChart>
        <c:barDir val="col"/>
        <c:grouping val="clustered"/>
        <c:varyColors val="0"/>
        <c:ser>
          <c:idx val="0"/>
          <c:order val="0"/>
          <c:tx>
            <c:strRef>
              <c:f>Sheet1!$B$1</c:f>
              <c:strCache>
                <c:ptCount val="1"/>
                <c:pt idx="0">
                  <c:v>NC 2017</c:v>
                </c:pt>
              </c:strCache>
            </c:strRef>
          </c:tx>
          <c:spPr>
            <a:solidFill>
              <a:srgbClr val="FF0000"/>
            </a:solidFill>
            <a:ln>
              <a:noFill/>
            </a:ln>
            <a:effectLst/>
          </c:spPr>
          <c:invertIfNegative val="0"/>
          <c:cat>
            <c:strRef>
              <c:f>Sheet1!$A$2:$A$4</c:f>
              <c:strCache>
                <c:ptCount val="3"/>
                <c:pt idx="0">
                  <c:v>Headline</c:v>
                </c:pt>
                <c:pt idx="1">
                  <c:v>U5</c:v>
                </c:pt>
                <c:pt idx="2">
                  <c:v>U6</c:v>
                </c:pt>
              </c:strCache>
            </c:strRef>
          </c:cat>
          <c:val>
            <c:numRef>
              <c:f>Sheet1!$B$2:$B$4</c:f>
              <c:numCache>
                <c:formatCode>General</c:formatCode>
                <c:ptCount val="3"/>
                <c:pt idx="0">
                  <c:v>4.5</c:v>
                </c:pt>
                <c:pt idx="1">
                  <c:v>5.5</c:v>
                </c:pt>
                <c:pt idx="2">
                  <c:v>8.1999999999999993</c:v>
                </c:pt>
              </c:numCache>
            </c:numRef>
          </c:val>
          <c:extLst>
            <c:ext xmlns:c16="http://schemas.microsoft.com/office/drawing/2014/chart" uri="{C3380CC4-5D6E-409C-BE32-E72D297353CC}">
              <c16:uniqueId val="{00000000-32BB-B946-85C8-8D03859AF06C}"/>
            </c:ext>
          </c:extLst>
        </c:ser>
        <c:ser>
          <c:idx val="1"/>
          <c:order val="1"/>
          <c:tx>
            <c:strRef>
              <c:f>Sheet1!$C$1</c:f>
              <c:strCache>
                <c:ptCount val="1"/>
                <c:pt idx="0">
                  <c:v>NC 2018</c:v>
                </c:pt>
              </c:strCache>
            </c:strRef>
          </c:tx>
          <c:spPr>
            <a:solidFill>
              <a:srgbClr val="C00000"/>
            </a:solidFill>
            <a:ln>
              <a:noFill/>
            </a:ln>
            <a:effectLst/>
          </c:spPr>
          <c:invertIfNegative val="0"/>
          <c:cat>
            <c:strRef>
              <c:f>Sheet1!$A$2:$A$4</c:f>
              <c:strCache>
                <c:ptCount val="3"/>
                <c:pt idx="0">
                  <c:v>Headline</c:v>
                </c:pt>
                <c:pt idx="1">
                  <c:v>U5</c:v>
                </c:pt>
                <c:pt idx="2">
                  <c:v>U6</c:v>
                </c:pt>
              </c:strCache>
            </c:strRef>
          </c:cat>
          <c:val>
            <c:numRef>
              <c:f>Sheet1!$C$2:$C$4</c:f>
              <c:numCache>
                <c:formatCode>General</c:formatCode>
                <c:ptCount val="3"/>
                <c:pt idx="0">
                  <c:v>4.3</c:v>
                </c:pt>
                <c:pt idx="1">
                  <c:v>5.3</c:v>
                </c:pt>
                <c:pt idx="2">
                  <c:v>7.9</c:v>
                </c:pt>
              </c:numCache>
            </c:numRef>
          </c:val>
          <c:extLst>
            <c:ext xmlns:c16="http://schemas.microsoft.com/office/drawing/2014/chart" uri="{C3380CC4-5D6E-409C-BE32-E72D297353CC}">
              <c16:uniqueId val="{00000001-32BB-B946-85C8-8D03859AF06C}"/>
            </c:ext>
          </c:extLst>
        </c:ser>
        <c:ser>
          <c:idx val="2"/>
          <c:order val="2"/>
          <c:tx>
            <c:strRef>
              <c:f>Sheet1!$D$1</c:f>
              <c:strCache>
                <c:ptCount val="1"/>
                <c:pt idx="0">
                  <c:v>US 2017</c:v>
                </c:pt>
              </c:strCache>
            </c:strRef>
          </c:tx>
          <c:spPr>
            <a:solidFill>
              <a:schemeClr val="accent3"/>
            </a:solidFill>
            <a:ln>
              <a:noFill/>
            </a:ln>
            <a:effectLst/>
          </c:spPr>
          <c:invertIfNegative val="0"/>
          <c:cat>
            <c:strRef>
              <c:f>Sheet1!$A$2:$A$4</c:f>
              <c:strCache>
                <c:ptCount val="3"/>
                <c:pt idx="0">
                  <c:v>Headline</c:v>
                </c:pt>
                <c:pt idx="1">
                  <c:v>U5</c:v>
                </c:pt>
                <c:pt idx="2">
                  <c:v>U6</c:v>
                </c:pt>
              </c:strCache>
            </c:strRef>
          </c:cat>
          <c:val>
            <c:numRef>
              <c:f>Sheet1!$D$2:$D$4</c:f>
              <c:numCache>
                <c:formatCode>General</c:formatCode>
                <c:ptCount val="3"/>
                <c:pt idx="0">
                  <c:v>4.4000000000000004</c:v>
                </c:pt>
                <c:pt idx="1">
                  <c:v>5.3</c:v>
                </c:pt>
                <c:pt idx="2">
                  <c:v>8.5</c:v>
                </c:pt>
              </c:numCache>
            </c:numRef>
          </c:val>
          <c:extLst>
            <c:ext xmlns:c16="http://schemas.microsoft.com/office/drawing/2014/chart" uri="{C3380CC4-5D6E-409C-BE32-E72D297353CC}">
              <c16:uniqueId val="{00000002-32BB-B946-85C8-8D03859AF06C}"/>
            </c:ext>
          </c:extLst>
        </c:ser>
        <c:ser>
          <c:idx val="3"/>
          <c:order val="3"/>
          <c:tx>
            <c:strRef>
              <c:f>Sheet1!$E$1</c:f>
              <c:strCache>
                <c:ptCount val="1"/>
                <c:pt idx="0">
                  <c:v>US 2018</c:v>
                </c:pt>
              </c:strCache>
            </c:strRef>
          </c:tx>
          <c:spPr>
            <a:solidFill>
              <a:schemeClr val="tx1"/>
            </a:solidFill>
            <a:ln>
              <a:noFill/>
            </a:ln>
            <a:effectLst/>
          </c:spPr>
          <c:invertIfNegative val="0"/>
          <c:cat>
            <c:strRef>
              <c:f>Sheet1!$A$2:$A$4</c:f>
              <c:strCache>
                <c:ptCount val="3"/>
                <c:pt idx="0">
                  <c:v>Headline</c:v>
                </c:pt>
                <c:pt idx="1">
                  <c:v>U5</c:v>
                </c:pt>
                <c:pt idx="2">
                  <c:v>U6</c:v>
                </c:pt>
              </c:strCache>
            </c:strRef>
          </c:cat>
          <c:val>
            <c:numRef>
              <c:f>Sheet1!$E$2:$E$4</c:f>
              <c:numCache>
                <c:formatCode>General</c:formatCode>
                <c:ptCount val="3"/>
                <c:pt idx="0">
                  <c:v>4.0999999999999996</c:v>
                </c:pt>
                <c:pt idx="1">
                  <c:v>5</c:v>
                </c:pt>
                <c:pt idx="2">
                  <c:v>8.1</c:v>
                </c:pt>
              </c:numCache>
            </c:numRef>
          </c:val>
          <c:extLst>
            <c:ext xmlns:c16="http://schemas.microsoft.com/office/drawing/2014/chart" uri="{C3380CC4-5D6E-409C-BE32-E72D297353CC}">
              <c16:uniqueId val="{00000003-32BB-B946-85C8-8D03859AF06C}"/>
            </c:ext>
          </c:extLst>
        </c:ser>
        <c:dLbls>
          <c:showLegendKey val="0"/>
          <c:showVal val="0"/>
          <c:showCatName val="0"/>
          <c:showSerName val="0"/>
          <c:showPercent val="0"/>
          <c:showBubbleSize val="0"/>
        </c:dLbls>
        <c:gapWidth val="219"/>
        <c:overlap val="-27"/>
        <c:axId val="417587416"/>
        <c:axId val="417583496"/>
      </c:barChart>
      <c:catAx>
        <c:axId val="41758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7583496"/>
        <c:crosses val="autoZero"/>
        <c:auto val="1"/>
        <c:lblAlgn val="ctr"/>
        <c:lblOffset val="100"/>
        <c:noMultiLvlLbl val="0"/>
      </c:catAx>
      <c:valAx>
        <c:axId val="417583496"/>
        <c:scaling>
          <c:orientation val="minMax"/>
          <c:max val="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758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NC</c:v>
                </c:pt>
              </c:strCache>
            </c:strRef>
          </c:tx>
          <c:spPr>
            <a:ln w="38100" cap="rnd">
              <a:solidFill>
                <a:srgbClr val="FF0000"/>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22.96</c:v>
                </c:pt>
                <c:pt idx="1">
                  <c:v>23.26</c:v>
                </c:pt>
                <c:pt idx="2">
                  <c:v>24.4</c:v>
                </c:pt>
                <c:pt idx="3">
                  <c:v>24.47</c:v>
                </c:pt>
                <c:pt idx="4">
                  <c:v>24.47</c:v>
                </c:pt>
              </c:numCache>
            </c:numRef>
          </c:val>
          <c:smooth val="0"/>
          <c:extLst>
            <c:ext xmlns:c16="http://schemas.microsoft.com/office/drawing/2014/chart" uri="{C3380CC4-5D6E-409C-BE32-E72D297353CC}">
              <c16:uniqueId val="{00000000-F453-F44B-BC13-4B7BDCA11717}"/>
            </c:ext>
          </c:extLst>
        </c:ser>
        <c:ser>
          <c:idx val="1"/>
          <c:order val="1"/>
          <c:tx>
            <c:strRef>
              <c:f>Sheet1!$C$1</c:f>
              <c:strCache>
                <c:ptCount val="1"/>
                <c:pt idx="0">
                  <c:v>US</c:v>
                </c:pt>
              </c:strCache>
            </c:strRef>
          </c:tx>
          <c:spPr>
            <a:ln w="28575" cap="rnd">
              <a:solidFill>
                <a:schemeClr val="tx1"/>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25.83</c:v>
                </c:pt>
                <c:pt idx="1">
                  <c:v>26.16</c:v>
                </c:pt>
                <c:pt idx="2">
                  <c:v>26.61</c:v>
                </c:pt>
                <c:pt idx="3">
                  <c:v>26.8</c:v>
                </c:pt>
                <c:pt idx="4">
                  <c:v>26.74</c:v>
                </c:pt>
              </c:numCache>
            </c:numRef>
          </c:val>
          <c:smooth val="0"/>
          <c:extLst>
            <c:ext xmlns:c16="http://schemas.microsoft.com/office/drawing/2014/chart" uri="{C3380CC4-5D6E-409C-BE32-E72D297353CC}">
              <c16:uniqueId val="{00000001-F453-F44B-BC13-4B7BDCA11717}"/>
            </c:ext>
          </c:extLst>
        </c:ser>
        <c:dLbls>
          <c:showLegendKey val="0"/>
          <c:showVal val="0"/>
          <c:showCatName val="0"/>
          <c:showSerName val="0"/>
          <c:showPercent val="0"/>
          <c:showBubbleSize val="0"/>
        </c:dLbls>
        <c:smooth val="0"/>
        <c:axId val="417587808"/>
        <c:axId val="417583104"/>
      </c:lineChart>
      <c:catAx>
        <c:axId val="4175878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3104"/>
        <c:crosses val="autoZero"/>
        <c:auto val="1"/>
        <c:lblAlgn val="ctr"/>
        <c:lblOffset val="100"/>
        <c:noMultiLvlLbl val="0"/>
      </c:catAx>
      <c:valAx>
        <c:axId val="417583104"/>
        <c:scaling>
          <c:orientation val="minMax"/>
          <c:max val="27"/>
          <c:min val="22"/>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8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2009-16</c:v>
                </c:pt>
              </c:strCache>
            </c:strRef>
          </c:tx>
          <c:spPr>
            <a:solidFill>
              <a:srgbClr val="FF0000"/>
            </a:solidFill>
            <a:ln>
              <a:noFill/>
            </a:ln>
            <a:effectLst/>
          </c:spPr>
          <c:invertIfNegative val="0"/>
          <c:cat>
            <c:strRef>
              <c:f>Sheet1!$A$2:$A$4</c:f>
              <c:strCache>
                <c:ptCount val="3"/>
                <c:pt idx="0">
                  <c:v>High Paying</c:v>
                </c:pt>
                <c:pt idx="1">
                  <c:v>Middle Paying</c:v>
                </c:pt>
                <c:pt idx="2">
                  <c:v>Low Paying</c:v>
                </c:pt>
              </c:strCache>
            </c:strRef>
          </c:cat>
          <c:val>
            <c:numRef>
              <c:f>Sheet1!$B$2:$B$4</c:f>
              <c:numCache>
                <c:formatCode>General</c:formatCode>
                <c:ptCount val="3"/>
                <c:pt idx="0">
                  <c:v>3.3</c:v>
                </c:pt>
                <c:pt idx="1">
                  <c:v>0.4</c:v>
                </c:pt>
                <c:pt idx="2">
                  <c:v>2.1</c:v>
                </c:pt>
              </c:numCache>
            </c:numRef>
          </c:val>
          <c:extLst>
            <c:ext xmlns:c16="http://schemas.microsoft.com/office/drawing/2014/chart" uri="{C3380CC4-5D6E-409C-BE32-E72D297353CC}">
              <c16:uniqueId val="{00000000-9F5B-6A46-BDD5-44C5094B0973}"/>
            </c:ext>
          </c:extLst>
        </c:ser>
        <c:ser>
          <c:idx val="1"/>
          <c:order val="1"/>
          <c:tx>
            <c:strRef>
              <c:f>Sheet1!$C$1</c:f>
              <c:strCache>
                <c:ptCount val="1"/>
                <c:pt idx="0">
                  <c:v>2017</c:v>
                </c:pt>
              </c:strCache>
            </c:strRef>
          </c:tx>
          <c:spPr>
            <a:solidFill>
              <a:schemeClr val="bg1">
                <a:lumMod val="65000"/>
              </a:schemeClr>
            </a:solidFill>
            <a:ln>
              <a:noFill/>
            </a:ln>
            <a:effectLst/>
          </c:spPr>
          <c:invertIfNegative val="0"/>
          <c:cat>
            <c:strRef>
              <c:f>Sheet1!$A$2:$A$4</c:f>
              <c:strCache>
                <c:ptCount val="3"/>
                <c:pt idx="0">
                  <c:v>High Paying</c:v>
                </c:pt>
                <c:pt idx="1">
                  <c:v>Middle Paying</c:v>
                </c:pt>
                <c:pt idx="2">
                  <c:v>Low Paying</c:v>
                </c:pt>
              </c:strCache>
            </c:strRef>
          </c:cat>
          <c:val>
            <c:numRef>
              <c:f>Sheet1!$C$2:$C$4</c:f>
              <c:numCache>
                <c:formatCode>General</c:formatCode>
                <c:ptCount val="3"/>
                <c:pt idx="0">
                  <c:v>2.7</c:v>
                </c:pt>
                <c:pt idx="1">
                  <c:v>1.5</c:v>
                </c:pt>
                <c:pt idx="2">
                  <c:v>0.5</c:v>
                </c:pt>
              </c:numCache>
            </c:numRef>
          </c:val>
          <c:extLst>
            <c:ext xmlns:c16="http://schemas.microsoft.com/office/drawing/2014/chart" uri="{C3380CC4-5D6E-409C-BE32-E72D297353CC}">
              <c16:uniqueId val="{00000001-9F5B-6A46-BDD5-44C5094B0973}"/>
            </c:ext>
          </c:extLst>
        </c:ser>
        <c:ser>
          <c:idx val="2"/>
          <c:order val="2"/>
          <c:tx>
            <c:strRef>
              <c:f>Sheet1!$D$1</c:f>
              <c:strCache>
                <c:ptCount val="1"/>
                <c:pt idx="0">
                  <c:v>2018</c:v>
                </c:pt>
              </c:strCache>
            </c:strRef>
          </c:tx>
          <c:spPr>
            <a:solidFill>
              <a:schemeClr val="tx1"/>
            </a:solidFill>
            <a:ln>
              <a:solidFill>
                <a:schemeClr val="tx1"/>
              </a:solidFill>
            </a:ln>
            <a:effectLst/>
          </c:spPr>
          <c:invertIfNegative val="0"/>
          <c:cat>
            <c:strRef>
              <c:f>Sheet1!$A$2:$A$4</c:f>
              <c:strCache>
                <c:ptCount val="3"/>
                <c:pt idx="0">
                  <c:v>High Paying</c:v>
                </c:pt>
                <c:pt idx="1">
                  <c:v>Middle Paying</c:v>
                </c:pt>
                <c:pt idx="2">
                  <c:v>Low Paying</c:v>
                </c:pt>
              </c:strCache>
            </c:strRef>
          </c:cat>
          <c:val>
            <c:numRef>
              <c:f>Sheet1!$D$2:$D$4</c:f>
              <c:numCache>
                <c:formatCode>General</c:formatCode>
                <c:ptCount val="3"/>
                <c:pt idx="0">
                  <c:v>5.5</c:v>
                </c:pt>
                <c:pt idx="1">
                  <c:v>2.7</c:v>
                </c:pt>
                <c:pt idx="2">
                  <c:v>2.7</c:v>
                </c:pt>
              </c:numCache>
            </c:numRef>
          </c:val>
          <c:extLst>
            <c:ext xmlns:c16="http://schemas.microsoft.com/office/drawing/2014/chart" uri="{C3380CC4-5D6E-409C-BE32-E72D297353CC}">
              <c16:uniqueId val="{00000002-9F5B-6A46-BDD5-44C5094B0973}"/>
            </c:ext>
          </c:extLst>
        </c:ser>
        <c:dLbls>
          <c:showLegendKey val="0"/>
          <c:showVal val="0"/>
          <c:showCatName val="0"/>
          <c:showSerName val="0"/>
          <c:showPercent val="0"/>
          <c:showBubbleSize val="0"/>
        </c:dLbls>
        <c:gapWidth val="219"/>
        <c:overlap val="-27"/>
        <c:axId val="414376384"/>
        <c:axId val="414378344"/>
      </c:barChart>
      <c:catAx>
        <c:axId val="414376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4378344"/>
        <c:crosses val="autoZero"/>
        <c:auto val="1"/>
        <c:lblAlgn val="ctr"/>
        <c:lblOffset val="100"/>
        <c:noMultiLvlLbl val="0"/>
      </c:catAx>
      <c:valAx>
        <c:axId val="414378344"/>
        <c:scaling>
          <c:orientation val="minMax"/>
          <c:max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7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rgbClr val="00B0F0"/>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D77B-9843-9D83-0FD31227CB7D}"/>
              </c:ext>
            </c:extLst>
          </c:dPt>
          <c:dPt>
            <c:idx val="1"/>
            <c:invertIfNegative val="0"/>
            <c:bubble3D val="0"/>
            <c:spPr>
              <a:solidFill>
                <a:srgbClr val="0070C0"/>
              </a:solidFill>
              <a:ln>
                <a:noFill/>
              </a:ln>
              <a:effectLst/>
            </c:spPr>
            <c:extLst>
              <c:ext xmlns:c16="http://schemas.microsoft.com/office/drawing/2014/chart" uri="{C3380CC4-5D6E-409C-BE32-E72D297353CC}">
                <c16:uniqueId val="{00000003-D77B-9843-9D83-0FD31227CB7D}"/>
              </c:ext>
            </c:extLst>
          </c:dPt>
          <c:dPt>
            <c:idx val="2"/>
            <c:invertIfNegative val="0"/>
            <c:bubble3D val="0"/>
            <c:spPr>
              <a:solidFill>
                <a:srgbClr val="0070C0"/>
              </a:solidFill>
              <a:ln>
                <a:noFill/>
              </a:ln>
              <a:effectLst/>
            </c:spPr>
            <c:extLst>
              <c:ext xmlns:c16="http://schemas.microsoft.com/office/drawing/2014/chart" uri="{C3380CC4-5D6E-409C-BE32-E72D297353CC}">
                <c16:uniqueId val="{00000005-D77B-9843-9D83-0FD31227CB7D}"/>
              </c:ext>
            </c:extLst>
          </c:dPt>
          <c:dPt>
            <c:idx val="3"/>
            <c:invertIfNegative val="0"/>
            <c:bubble3D val="0"/>
            <c:spPr>
              <a:solidFill>
                <a:srgbClr val="0070C0"/>
              </a:solidFill>
              <a:ln>
                <a:noFill/>
              </a:ln>
              <a:effectLst/>
            </c:spPr>
            <c:extLst>
              <c:ext xmlns:c16="http://schemas.microsoft.com/office/drawing/2014/chart" uri="{C3380CC4-5D6E-409C-BE32-E72D297353CC}">
                <c16:uniqueId val="{00000007-D77B-9843-9D83-0FD31227CB7D}"/>
              </c:ext>
            </c:extLst>
          </c:dPt>
          <c:dPt>
            <c:idx val="4"/>
            <c:invertIfNegative val="0"/>
            <c:bubble3D val="0"/>
            <c:spPr>
              <a:solidFill>
                <a:srgbClr val="0070C0"/>
              </a:solidFill>
              <a:ln>
                <a:noFill/>
              </a:ln>
              <a:effectLst/>
            </c:spPr>
            <c:extLst>
              <c:ext xmlns:c16="http://schemas.microsoft.com/office/drawing/2014/chart" uri="{C3380CC4-5D6E-409C-BE32-E72D297353CC}">
                <c16:uniqueId val="{00000009-D77B-9843-9D83-0FD31227CB7D}"/>
              </c:ext>
            </c:extLst>
          </c:dPt>
          <c:dPt>
            <c:idx val="5"/>
            <c:invertIfNegative val="0"/>
            <c:bubble3D val="0"/>
            <c:spPr>
              <a:solidFill>
                <a:srgbClr val="0070C0"/>
              </a:solidFill>
              <a:ln>
                <a:noFill/>
              </a:ln>
              <a:effectLst/>
            </c:spPr>
            <c:extLst>
              <c:ext xmlns:c16="http://schemas.microsoft.com/office/drawing/2014/chart" uri="{C3380CC4-5D6E-409C-BE32-E72D297353CC}">
                <c16:uniqueId val="{0000000B-D77B-9843-9D83-0FD31227CB7D}"/>
              </c:ext>
            </c:extLst>
          </c:dPt>
          <c:dPt>
            <c:idx val="6"/>
            <c:invertIfNegative val="0"/>
            <c:bubble3D val="0"/>
            <c:spPr>
              <a:solidFill>
                <a:srgbClr val="0070C0"/>
              </a:solidFill>
              <a:ln>
                <a:noFill/>
              </a:ln>
              <a:effectLst/>
            </c:spPr>
            <c:extLst>
              <c:ext xmlns:c16="http://schemas.microsoft.com/office/drawing/2014/chart" uri="{C3380CC4-5D6E-409C-BE32-E72D297353CC}">
                <c16:uniqueId val="{0000000D-D77B-9843-9D83-0FD31227CB7D}"/>
              </c:ext>
            </c:extLst>
          </c:dPt>
          <c:dPt>
            <c:idx val="7"/>
            <c:invertIfNegative val="0"/>
            <c:bubble3D val="0"/>
            <c:spPr>
              <a:solidFill>
                <a:srgbClr val="0070C0"/>
              </a:solidFill>
              <a:ln>
                <a:noFill/>
              </a:ln>
              <a:effectLst/>
            </c:spPr>
            <c:extLst>
              <c:ext xmlns:c16="http://schemas.microsoft.com/office/drawing/2014/chart" uri="{C3380CC4-5D6E-409C-BE32-E72D297353CC}">
                <c16:uniqueId val="{0000000F-D77B-9843-9D83-0FD31227CB7D}"/>
              </c:ext>
            </c:extLst>
          </c:dPt>
          <c:dPt>
            <c:idx val="8"/>
            <c:invertIfNegative val="0"/>
            <c:bubble3D val="0"/>
            <c:spPr>
              <a:solidFill>
                <a:srgbClr val="0070C0"/>
              </a:solidFill>
              <a:ln>
                <a:noFill/>
              </a:ln>
              <a:effectLst/>
            </c:spPr>
            <c:extLst>
              <c:ext xmlns:c16="http://schemas.microsoft.com/office/drawing/2014/chart" uri="{C3380CC4-5D6E-409C-BE32-E72D297353CC}">
                <c16:uniqueId val="{00000011-D77B-9843-9D83-0FD31227CB7D}"/>
              </c:ext>
            </c:extLst>
          </c:dPt>
          <c:dPt>
            <c:idx val="9"/>
            <c:invertIfNegative val="0"/>
            <c:bubble3D val="0"/>
            <c:spPr>
              <a:solidFill>
                <a:srgbClr val="0070C0"/>
              </a:solidFill>
              <a:ln>
                <a:noFill/>
              </a:ln>
              <a:effectLst/>
            </c:spPr>
            <c:extLst>
              <c:ext xmlns:c16="http://schemas.microsoft.com/office/drawing/2014/chart" uri="{C3380CC4-5D6E-409C-BE32-E72D297353CC}">
                <c16:uniqueId val="{00000013-D77B-9843-9D83-0FD31227CB7D}"/>
              </c:ext>
            </c:extLst>
          </c:dPt>
          <c:dPt>
            <c:idx val="10"/>
            <c:invertIfNegative val="0"/>
            <c:bubble3D val="0"/>
            <c:spPr>
              <a:solidFill>
                <a:srgbClr val="0070C0"/>
              </a:solidFill>
              <a:ln>
                <a:noFill/>
              </a:ln>
              <a:effectLst/>
            </c:spPr>
            <c:extLst>
              <c:ext xmlns:c16="http://schemas.microsoft.com/office/drawing/2014/chart" uri="{C3380CC4-5D6E-409C-BE32-E72D297353CC}">
                <c16:uniqueId val="{00000015-D77B-9843-9D83-0FD31227CB7D}"/>
              </c:ext>
            </c:extLst>
          </c:dPt>
          <c:dPt>
            <c:idx val="11"/>
            <c:invertIfNegative val="0"/>
            <c:bubble3D val="0"/>
            <c:spPr>
              <a:solidFill>
                <a:srgbClr val="0070C0"/>
              </a:solidFill>
              <a:ln>
                <a:noFill/>
              </a:ln>
              <a:effectLst/>
            </c:spPr>
            <c:extLst>
              <c:ext xmlns:c16="http://schemas.microsoft.com/office/drawing/2014/chart" uri="{C3380CC4-5D6E-409C-BE32-E72D297353CC}">
                <c16:uniqueId val="{00000017-D77B-9843-9D83-0FD31227CB7D}"/>
              </c:ext>
            </c:extLst>
          </c:dPt>
          <c:dPt>
            <c:idx val="12"/>
            <c:invertIfNegative val="0"/>
            <c:bubble3D val="0"/>
            <c:spPr>
              <a:solidFill>
                <a:srgbClr val="0070C0"/>
              </a:solidFill>
              <a:ln>
                <a:noFill/>
              </a:ln>
              <a:effectLst/>
            </c:spPr>
            <c:extLst>
              <c:ext xmlns:c16="http://schemas.microsoft.com/office/drawing/2014/chart" uri="{C3380CC4-5D6E-409C-BE32-E72D297353CC}">
                <c16:uniqueId val="{00000019-D77B-9843-9D83-0FD31227CB7D}"/>
              </c:ext>
            </c:extLst>
          </c:dPt>
          <c:dPt>
            <c:idx val="13"/>
            <c:invertIfNegative val="0"/>
            <c:bubble3D val="0"/>
            <c:spPr>
              <a:solidFill>
                <a:srgbClr val="0070C0"/>
              </a:solidFill>
              <a:ln>
                <a:noFill/>
              </a:ln>
              <a:effectLst/>
            </c:spPr>
            <c:extLst>
              <c:ext xmlns:c16="http://schemas.microsoft.com/office/drawing/2014/chart" uri="{C3380CC4-5D6E-409C-BE32-E72D297353CC}">
                <c16:uniqueId val="{0000001B-D77B-9843-9D83-0FD31227CB7D}"/>
              </c:ext>
            </c:extLst>
          </c:dPt>
          <c:dPt>
            <c:idx val="14"/>
            <c:invertIfNegative val="0"/>
            <c:bubble3D val="0"/>
            <c:spPr>
              <a:solidFill>
                <a:srgbClr val="0070C0"/>
              </a:solidFill>
              <a:ln>
                <a:noFill/>
              </a:ln>
              <a:effectLst/>
            </c:spPr>
            <c:extLst>
              <c:ext xmlns:c16="http://schemas.microsoft.com/office/drawing/2014/chart" uri="{C3380CC4-5D6E-409C-BE32-E72D297353CC}">
                <c16:uniqueId val="{0000001D-D77B-9843-9D83-0FD31227CB7D}"/>
              </c:ext>
            </c:extLst>
          </c:dPt>
          <c:dPt>
            <c:idx val="15"/>
            <c:invertIfNegative val="0"/>
            <c:bubble3D val="0"/>
            <c:spPr>
              <a:solidFill>
                <a:srgbClr val="0070C0"/>
              </a:solidFill>
              <a:ln>
                <a:solidFill>
                  <a:srgbClr val="0070C0"/>
                </a:solidFill>
              </a:ln>
              <a:effectLst/>
            </c:spPr>
            <c:extLst>
              <c:ext xmlns:c16="http://schemas.microsoft.com/office/drawing/2014/chart" uri="{C3380CC4-5D6E-409C-BE32-E72D297353CC}">
                <c16:uniqueId val="{0000001F-D77B-9843-9D83-0FD31227CB7D}"/>
              </c:ext>
            </c:extLst>
          </c:dPt>
          <c:dPt>
            <c:idx val="16"/>
            <c:invertIfNegative val="0"/>
            <c:bubble3D val="0"/>
            <c:spPr>
              <a:solidFill>
                <a:schemeClr val="accent1">
                  <a:lumMod val="75000"/>
                </a:schemeClr>
              </a:solidFill>
              <a:ln>
                <a:noFill/>
              </a:ln>
              <a:effectLst/>
            </c:spPr>
            <c:extLst>
              <c:ext xmlns:c16="http://schemas.microsoft.com/office/drawing/2014/chart" uri="{C3380CC4-5D6E-409C-BE32-E72D297353CC}">
                <c16:uniqueId val="{00000021-D77B-9843-9D83-0FD31227CB7D}"/>
              </c:ext>
            </c:extLst>
          </c:dPt>
          <c:cat>
            <c:strRef>
              <c:f>Sheet1!$A$2:$A$19</c:f>
              <c:strCache>
                <c:ptCount val="17"/>
                <c:pt idx="0">
                  <c:v>Goldsboro</c:v>
                </c:pt>
                <c:pt idx="1">
                  <c:v>Burlington</c:v>
                </c:pt>
                <c:pt idx="2">
                  <c:v>Wilmington</c:v>
                </c:pt>
                <c:pt idx="3">
                  <c:v>Fayetteville</c:v>
                </c:pt>
                <c:pt idx="4">
                  <c:v>Asheville</c:v>
                </c:pt>
                <c:pt idx="5">
                  <c:v>New Bern</c:v>
                </c:pt>
                <c:pt idx="6">
                  <c:v>Charlotte</c:v>
                </c:pt>
                <c:pt idx="7">
                  <c:v>Jacksonville</c:v>
                </c:pt>
                <c:pt idx="8">
                  <c:v>Hickory</c:v>
                </c:pt>
                <c:pt idx="9">
                  <c:v>Rocky Mount</c:v>
                </c:pt>
                <c:pt idx="10">
                  <c:v>Greensboro</c:v>
                </c:pt>
                <c:pt idx="11">
                  <c:v>Winston-Sal</c:v>
                </c:pt>
                <c:pt idx="12">
                  <c:v>State</c:v>
                </c:pt>
                <c:pt idx="13">
                  <c:v>Greenville</c:v>
                </c:pt>
                <c:pt idx="14">
                  <c:v>Raleigh</c:v>
                </c:pt>
                <c:pt idx="15">
                  <c:v>Rural</c:v>
                </c:pt>
                <c:pt idx="16">
                  <c:v>Durham </c:v>
                </c:pt>
              </c:strCache>
            </c:strRef>
          </c:cat>
          <c:val>
            <c:numRef>
              <c:f>Sheet1!$B$2:$B$19</c:f>
              <c:numCache>
                <c:formatCode>General</c:formatCode>
                <c:ptCount val="18"/>
                <c:pt idx="0">
                  <c:v>0.01</c:v>
                </c:pt>
                <c:pt idx="1">
                  <c:v>0.7</c:v>
                </c:pt>
                <c:pt idx="2">
                  <c:v>1</c:v>
                </c:pt>
                <c:pt idx="3">
                  <c:v>1.5</c:v>
                </c:pt>
                <c:pt idx="4">
                  <c:v>1.7</c:v>
                </c:pt>
                <c:pt idx="5">
                  <c:v>1.8</c:v>
                </c:pt>
                <c:pt idx="6">
                  <c:v>1.9</c:v>
                </c:pt>
                <c:pt idx="7">
                  <c:v>2</c:v>
                </c:pt>
                <c:pt idx="8">
                  <c:v>2.1</c:v>
                </c:pt>
                <c:pt idx="9">
                  <c:v>2.2000000000000002</c:v>
                </c:pt>
                <c:pt idx="10">
                  <c:v>2.5</c:v>
                </c:pt>
                <c:pt idx="11">
                  <c:v>2.8</c:v>
                </c:pt>
                <c:pt idx="12">
                  <c:v>3.1</c:v>
                </c:pt>
                <c:pt idx="13">
                  <c:v>3.3</c:v>
                </c:pt>
                <c:pt idx="14">
                  <c:v>4.5</c:v>
                </c:pt>
                <c:pt idx="15">
                  <c:v>4.9000000000000004</c:v>
                </c:pt>
                <c:pt idx="16">
                  <c:v>6.2</c:v>
                </c:pt>
              </c:numCache>
            </c:numRef>
          </c:val>
          <c:extLst>
            <c:ext xmlns:c16="http://schemas.microsoft.com/office/drawing/2014/chart" uri="{C3380CC4-5D6E-409C-BE32-E72D297353CC}">
              <c16:uniqueId val="{00000022-D77B-9843-9D83-0FD31227CB7D}"/>
            </c:ext>
          </c:extLst>
        </c:ser>
        <c:dLbls>
          <c:showLegendKey val="0"/>
          <c:showVal val="0"/>
          <c:showCatName val="0"/>
          <c:showSerName val="0"/>
          <c:showPercent val="0"/>
          <c:showBubbleSize val="0"/>
        </c:dLbls>
        <c:gapWidth val="182"/>
        <c:axId val="414380696"/>
        <c:axId val="414381480"/>
      </c:barChart>
      <c:catAx>
        <c:axId val="414380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14381480"/>
        <c:crosses val="autoZero"/>
        <c:auto val="1"/>
        <c:lblAlgn val="ctr"/>
        <c:lblOffset val="100"/>
        <c:noMultiLvlLbl val="0"/>
      </c:catAx>
      <c:valAx>
        <c:axId val="41438148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80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2009-2016</c:v>
                </c:pt>
              </c:strCache>
            </c:strRef>
          </c:tx>
          <c:spPr>
            <a:solidFill>
              <a:srgbClr val="FF0000"/>
            </a:solidFill>
            <a:ln>
              <a:noFill/>
            </a:ln>
            <a:effectLst/>
          </c:spPr>
          <c:invertIfNegative val="0"/>
          <c:cat>
            <c:strRef>
              <c:f>Sheet1!$A$2:$A$5</c:f>
              <c:strCache>
                <c:ptCount val="4"/>
                <c:pt idx="0">
                  <c:v>Large metros</c:v>
                </c:pt>
                <c:pt idx="1">
                  <c:v>Medium metros</c:v>
                </c:pt>
                <c:pt idx="2">
                  <c:v>Small metros</c:v>
                </c:pt>
                <c:pt idx="3">
                  <c:v>Rural</c:v>
                </c:pt>
              </c:strCache>
            </c:strRef>
          </c:cat>
          <c:val>
            <c:numRef>
              <c:f>Sheet1!$B$2:$B$5</c:f>
              <c:numCache>
                <c:formatCode>General</c:formatCode>
                <c:ptCount val="4"/>
                <c:pt idx="0">
                  <c:v>2.2000000000000002</c:v>
                </c:pt>
                <c:pt idx="1">
                  <c:v>1.1000000000000001</c:v>
                </c:pt>
                <c:pt idx="2">
                  <c:v>-0.2</c:v>
                </c:pt>
                <c:pt idx="3">
                  <c:v>0.7</c:v>
                </c:pt>
              </c:numCache>
            </c:numRef>
          </c:val>
          <c:extLst>
            <c:ext xmlns:c16="http://schemas.microsoft.com/office/drawing/2014/chart" uri="{C3380CC4-5D6E-409C-BE32-E72D297353CC}">
              <c16:uniqueId val="{00000000-6258-E146-83ED-6FD5FC93D19E}"/>
            </c:ext>
          </c:extLst>
        </c:ser>
        <c:ser>
          <c:idx val="1"/>
          <c:order val="1"/>
          <c:tx>
            <c:strRef>
              <c:f>Sheet1!$C$1</c:f>
              <c:strCache>
                <c:ptCount val="1"/>
                <c:pt idx="0">
                  <c:v>2017</c:v>
                </c:pt>
              </c:strCache>
            </c:strRef>
          </c:tx>
          <c:spPr>
            <a:solidFill>
              <a:schemeClr val="bg1">
                <a:lumMod val="65000"/>
              </a:schemeClr>
            </a:solidFill>
          </c:spPr>
          <c:invertIfNegative val="0"/>
          <c:cat>
            <c:strRef>
              <c:f>Sheet1!$A$2:$A$5</c:f>
              <c:strCache>
                <c:ptCount val="4"/>
                <c:pt idx="0">
                  <c:v>Large metros</c:v>
                </c:pt>
                <c:pt idx="1">
                  <c:v>Medium metros</c:v>
                </c:pt>
                <c:pt idx="2">
                  <c:v>Small metros</c:v>
                </c:pt>
                <c:pt idx="3">
                  <c:v>Rural</c:v>
                </c:pt>
              </c:strCache>
            </c:strRef>
          </c:cat>
          <c:val>
            <c:numRef>
              <c:f>Sheet1!$C$2:$C$5</c:f>
              <c:numCache>
                <c:formatCode>General</c:formatCode>
                <c:ptCount val="4"/>
                <c:pt idx="0">
                  <c:v>1.9</c:v>
                </c:pt>
                <c:pt idx="1">
                  <c:v>1</c:v>
                </c:pt>
                <c:pt idx="2">
                  <c:v>-1</c:v>
                </c:pt>
                <c:pt idx="3">
                  <c:v>1.8</c:v>
                </c:pt>
              </c:numCache>
            </c:numRef>
          </c:val>
          <c:extLst>
            <c:ext xmlns:c16="http://schemas.microsoft.com/office/drawing/2014/chart" uri="{C3380CC4-5D6E-409C-BE32-E72D297353CC}">
              <c16:uniqueId val="{00000001-6258-E146-83ED-6FD5FC93D19E}"/>
            </c:ext>
          </c:extLst>
        </c:ser>
        <c:ser>
          <c:idx val="2"/>
          <c:order val="2"/>
          <c:tx>
            <c:strRef>
              <c:f>Sheet1!$D$1</c:f>
              <c:strCache>
                <c:ptCount val="1"/>
                <c:pt idx="0">
                  <c:v>2018</c:v>
                </c:pt>
              </c:strCache>
            </c:strRef>
          </c:tx>
          <c:spPr>
            <a:solidFill>
              <a:schemeClr val="tx1"/>
            </a:solidFill>
          </c:spPr>
          <c:invertIfNegative val="0"/>
          <c:cat>
            <c:strRef>
              <c:f>Sheet1!$A$2:$A$5</c:f>
              <c:strCache>
                <c:ptCount val="4"/>
                <c:pt idx="0">
                  <c:v>Large metros</c:v>
                </c:pt>
                <c:pt idx="1">
                  <c:v>Medium metros</c:v>
                </c:pt>
                <c:pt idx="2">
                  <c:v>Small metros</c:v>
                </c:pt>
                <c:pt idx="3">
                  <c:v>Rural</c:v>
                </c:pt>
              </c:strCache>
            </c:strRef>
          </c:cat>
          <c:val>
            <c:numRef>
              <c:f>Sheet1!$D$2:$D$5</c:f>
              <c:numCache>
                <c:formatCode>General</c:formatCode>
                <c:ptCount val="4"/>
                <c:pt idx="0">
                  <c:v>3.1</c:v>
                </c:pt>
                <c:pt idx="1">
                  <c:v>1.7</c:v>
                </c:pt>
                <c:pt idx="2">
                  <c:v>1.5</c:v>
                </c:pt>
                <c:pt idx="3">
                  <c:v>4.9000000000000004</c:v>
                </c:pt>
              </c:numCache>
            </c:numRef>
          </c:val>
          <c:extLst>
            <c:ext xmlns:c16="http://schemas.microsoft.com/office/drawing/2014/chart" uri="{C3380CC4-5D6E-409C-BE32-E72D297353CC}">
              <c16:uniqueId val="{00000002-6258-E146-83ED-6FD5FC93D19E}"/>
            </c:ext>
          </c:extLst>
        </c:ser>
        <c:dLbls>
          <c:showLegendKey val="0"/>
          <c:showVal val="0"/>
          <c:showCatName val="0"/>
          <c:showSerName val="0"/>
          <c:showPercent val="0"/>
          <c:showBubbleSize val="0"/>
        </c:dLbls>
        <c:gapWidth val="219"/>
        <c:overlap val="-27"/>
        <c:axId val="327310632"/>
        <c:axId val="327307104"/>
      </c:barChart>
      <c:catAx>
        <c:axId val="327310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307104"/>
        <c:crosses val="autoZero"/>
        <c:auto val="1"/>
        <c:lblAlgn val="ctr"/>
        <c:lblOffset val="100"/>
        <c:noMultiLvlLbl val="0"/>
      </c:catAx>
      <c:valAx>
        <c:axId val="327307104"/>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31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D07E-1FEE-AD4F-959C-6A97649F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11</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walden</dc:creator>
  <cp:keywords/>
  <dc:description/>
  <cp:lastModifiedBy>Mike Walden</cp:lastModifiedBy>
  <cp:revision>13</cp:revision>
  <cp:lastPrinted>2018-08-15T19:30:00Z</cp:lastPrinted>
  <dcterms:created xsi:type="dcterms:W3CDTF">2018-08-09T20:02:00Z</dcterms:created>
  <dcterms:modified xsi:type="dcterms:W3CDTF">2018-08-16T20:10:00Z</dcterms:modified>
</cp:coreProperties>
</file>