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80" w:rsidRDefault="00BF0380" w:rsidP="00BF0380">
      <w:pPr>
        <w:rPr>
          <w:rFonts w:ascii="Times New Roman" w:hAnsi="Times New Roman"/>
          <w:b/>
          <w:sz w:val="28"/>
          <w:szCs w:val="28"/>
        </w:rPr>
      </w:pPr>
      <w:bookmarkStart w:id="0" w:name="_GoBack"/>
      <w:bookmarkEnd w:id="0"/>
      <w:r>
        <w:rPr>
          <w:noProof/>
        </w:rPr>
        <w:drawing>
          <wp:inline distT="0" distB="0" distL="0" distR="0" wp14:anchorId="6B3A80BE" wp14:editId="3E69EDE9">
            <wp:extent cx="850517" cy="741751"/>
            <wp:effectExtent l="0" t="0" r="0" b="1270"/>
            <wp:docPr id="5" name="Picture 4" descr="C:\Documents and Settings\walden\Local Settings\Temporary Internet Files\Content.IE5\6TCFAPSX\MMj029516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alden\Local Settings\Temporary Internet Files\Content.IE5\6TCFAPSX\MMj02951650000[1].gif"/>
                    <pic:cNvPicPr>
                      <a:picLocks noChangeAspect="1" noChangeArrowheads="1"/>
                    </pic:cNvPicPr>
                  </pic:nvPicPr>
                  <pic:blipFill>
                    <a:blip r:embed="rId8" cstate="print"/>
                    <a:srcRect/>
                    <a:stretch>
                      <a:fillRect/>
                    </a:stretch>
                  </pic:blipFill>
                  <pic:spPr bwMode="auto">
                    <a:xfrm>
                      <a:off x="0" y="0"/>
                      <a:ext cx="864490" cy="753937"/>
                    </a:xfrm>
                    <a:prstGeom prst="rect">
                      <a:avLst/>
                    </a:prstGeom>
                    <a:noFill/>
                    <a:ln w="9525">
                      <a:noFill/>
                      <a:miter lim="800000"/>
                      <a:headEnd/>
                      <a:tailEnd/>
                    </a:ln>
                  </pic:spPr>
                </pic:pic>
              </a:graphicData>
            </a:graphic>
          </wp:inline>
        </w:drawing>
      </w:r>
      <w:r w:rsidRPr="006A21A9">
        <w:rPr>
          <w:rFonts w:ascii="Times New Roman" w:hAnsi="Times New Roman"/>
          <w:b/>
          <w:noProof/>
          <w:sz w:val="28"/>
          <w:szCs w:val="28"/>
        </w:rPr>
        <w:drawing>
          <wp:inline distT="0" distB="0" distL="0" distR="0" wp14:anchorId="00D8EB46" wp14:editId="1CC697ED">
            <wp:extent cx="1363345" cy="511476"/>
            <wp:effectExtent l="0" t="0" r="8255" b="3175"/>
            <wp:docPr id="6" name="Picture 2" descr="C:\Users\walden\Desktop\ncsu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den\Desktop\ncsu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11" cy="525044"/>
                    </a:xfrm>
                    <a:prstGeom prst="rect">
                      <a:avLst/>
                    </a:prstGeom>
                    <a:noFill/>
                    <a:ln>
                      <a:noFill/>
                    </a:ln>
                  </pic:spPr>
                </pic:pic>
              </a:graphicData>
            </a:graphic>
          </wp:inline>
        </w:drawing>
      </w:r>
      <w:r w:rsidR="00952C25">
        <w:rPr>
          <w:rFonts w:ascii="Times New Roman" w:hAnsi="Times New Roman"/>
          <w:b/>
          <w:sz w:val="28"/>
          <w:szCs w:val="28"/>
        </w:rPr>
        <w:t xml:space="preserve">   </w:t>
      </w:r>
    </w:p>
    <w:p w:rsidR="00011347" w:rsidRDefault="00011347" w:rsidP="00BF0380">
      <w:pPr>
        <w:rPr>
          <w:rFonts w:ascii="Times New Roman" w:hAnsi="Times New Roman"/>
          <w:b/>
          <w:sz w:val="28"/>
          <w:szCs w:val="28"/>
        </w:rPr>
      </w:pPr>
    </w:p>
    <w:p w:rsidR="00BF0380" w:rsidRPr="00011347" w:rsidRDefault="00BF0380" w:rsidP="00BF0380">
      <w:pPr>
        <w:rPr>
          <w:rFonts w:ascii="Times New Roman" w:hAnsi="Times New Roman"/>
          <w:b/>
          <w:sz w:val="24"/>
          <w:szCs w:val="24"/>
        </w:rPr>
      </w:pPr>
      <w:r w:rsidRPr="00011347">
        <w:rPr>
          <w:rFonts w:ascii="Times New Roman" w:hAnsi="Times New Roman"/>
          <w:b/>
          <w:sz w:val="24"/>
          <w:szCs w:val="24"/>
        </w:rPr>
        <w:t>THE NORTH CAROLINA ECONOMIC OUTLOOK</w:t>
      </w:r>
      <w:r w:rsidR="00347AC9">
        <w:rPr>
          <w:rFonts w:ascii="Times New Roman" w:hAnsi="Times New Roman"/>
          <w:b/>
          <w:sz w:val="24"/>
          <w:szCs w:val="24"/>
        </w:rPr>
        <w:t xml:space="preserve">, </w:t>
      </w:r>
      <w:r w:rsidR="00596D05">
        <w:rPr>
          <w:rFonts w:ascii="Times New Roman" w:hAnsi="Times New Roman"/>
          <w:b/>
          <w:sz w:val="24"/>
          <w:szCs w:val="24"/>
        </w:rPr>
        <w:t>3</w:t>
      </w:r>
      <w:r w:rsidR="00596D05">
        <w:rPr>
          <w:rFonts w:ascii="Times New Roman" w:hAnsi="Times New Roman"/>
          <w:b/>
          <w:sz w:val="24"/>
          <w:szCs w:val="24"/>
          <w:vertAlign w:val="superscript"/>
        </w:rPr>
        <w:t>rd</w:t>
      </w:r>
      <w:r w:rsidR="00A02DE8">
        <w:rPr>
          <w:rFonts w:ascii="Times New Roman" w:hAnsi="Times New Roman"/>
          <w:b/>
          <w:sz w:val="24"/>
          <w:szCs w:val="24"/>
        </w:rPr>
        <w:t xml:space="preserve"> QUARTER 201</w:t>
      </w:r>
      <w:r w:rsidR="00942428">
        <w:rPr>
          <w:rFonts w:ascii="Times New Roman" w:hAnsi="Times New Roman"/>
          <w:b/>
          <w:sz w:val="24"/>
          <w:szCs w:val="24"/>
        </w:rPr>
        <w:t>9</w:t>
      </w:r>
    </w:p>
    <w:p w:rsidR="00BF0380" w:rsidRPr="00011347" w:rsidRDefault="00BF0380" w:rsidP="00011347">
      <w:pPr>
        <w:spacing w:line="240" w:lineRule="auto"/>
        <w:rPr>
          <w:rFonts w:ascii="Times New Roman" w:hAnsi="Times New Roman"/>
        </w:rPr>
      </w:pPr>
      <w:r w:rsidRPr="00011347">
        <w:rPr>
          <w:rFonts w:ascii="Times New Roman" w:hAnsi="Times New Roman"/>
        </w:rPr>
        <w:t>Prepared by Dr. Michael L. Walden, William Neal Reynolds Distinguished Professor</w:t>
      </w:r>
      <w:r w:rsidR="000D5532">
        <w:rPr>
          <w:rFonts w:ascii="Times New Roman" w:hAnsi="Times New Roman"/>
        </w:rPr>
        <w:t xml:space="preserve"> and Extension Economist</w:t>
      </w:r>
      <w:r w:rsidRPr="00011347">
        <w:rPr>
          <w:rFonts w:ascii="Times New Roman" w:hAnsi="Times New Roman"/>
        </w:rPr>
        <w:t xml:space="preserve">, </w:t>
      </w:r>
    </w:p>
    <w:p w:rsidR="00BF0380" w:rsidRPr="00011347" w:rsidRDefault="00BF0380" w:rsidP="00011347">
      <w:pPr>
        <w:spacing w:line="240" w:lineRule="auto"/>
        <w:rPr>
          <w:rFonts w:ascii="Times New Roman" w:hAnsi="Times New Roman"/>
          <w:b/>
        </w:rPr>
      </w:pPr>
      <w:r w:rsidRPr="00011347">
        <w:rPr>
          <w:rFonts w:ascii="Times New Roman" w:hAnsi="Times New Roman"/>
        </w:rPr>
        <w:t>Department of Agricultural and Resource Economics, North Carolina State University</w:t>
      </w:r>
    </w:p>
    <w:p w:rsidR="00D64CEF" w:rsidRDefault="00BF0380" w:rsidP="00BF0380">
      <w:pPr>
        <w:spacing w:line="240" w:lineRule="auto"/>
        <w:rPr>
          <w:rStyle w:val="Hyperlink"/>
          <w:rFonts w:ascii="Times New Roman" w:hAnsi="Times New Roman"/>
        </w:rPr>
      </w:pPr>
      <w:r w:rsidRPr="00011347">
        <w:rPr>
          <w:rFonts w:ascii="Times New Roman" w:hAnsi="Times New Roman"/>
        </w:rPr>
        <w:tab/>
        <w:t xml:space="preserve">Contact Methods: phone: 919-219-8923; e-mail: </w:t>
      </w:r>
      <w:hyperlink r:id="rId10" w:history="1">
        <w:r w:rsidRPr="00011347">
          <w:rPr>
            <w:rStyle w:val="Hyperlink"/>
            <w:rFonts w:ascii="Times New Roman" w:hAnsi="Times New Roman"/>
          </w:rPr>
          <w:t>michael_walden@ncsu.edu</w:t>
        </w:r>
      </w:hyperlink>
    </w:p>
    <w:p w:rsidR="000433FC" w:rsidRPr="00D64CEF" w:rsidRDefault="000433FC" w:rsidP="00BF0380">
      <w:pPr>
        <w:spacing w:line="240" w:lineRule="auto"/>
        <w:rPr>
          <w:rStyle w:val="Hyperlink"/>
          <w:rFonts w:ascii="Times New Roman" w:hAnsi="Times New Roman"/>
        </w:rPr>
      </w:pPr>
    </w:p>
    <w:p w:rsidR="00BF0380" w:rsidRPr="001D70AA" w:rsidRDefault="00011347" w:rsidP="00BF0380">
      <w:pPr>
        <w:spacing w:line="240" w:lineRule="auto"/>
        <w:rPr>
          <w:rStyle w:val="Hyperlink"/>
          <w:rFonts w:ascii="Times New Roman" w:hAnsi="Times New Roman"/>
          <w:b/>
          <w:color w:val="000000" w:themeColor="text1"/>
          <w:sz w:val="24"/>
          <w:szCs w:val="24"/>
        </w:rPr>
      </w:pPr>
      <w:r w:rsidRPr="001D70AA">
        <w:rPr>
          <w:rStyle w:val="Hyperlink"/>
          <w:rFonts w:ascii="Times New Roman" w:hAnsi="Times New Roman"/>
          <w:b/>
          <w:color w:val="000000" w:themeColor="text1"/>
          <w:sz w:val="24"/>
          <w:szCs w:val="24"/>
        </w:rPr>
        <w:t>TEN</w:t>
      </w:r>
      <w:r w:rsidR="00BF0380" w:rsidRPr="001D70AA">
        <w:rPr>
          <w:rStyle w:val="Hyperlink"/>
          <w:rFonts w:ascii="Times New Roman" w:hAnsi="Times New Roman"/>
          <w:b/>
          <w:color w:val="000000" w:themeColor="text1"/>
          <w:sz w:val="24"/>
          <w:szCs w:val="24"/>
        </w:rPr>
        <w:t xml:space="preserve"> NORTH CAROLINA ECONOM</w:t>
      </w:r>
      <w:r w:rsidR="00E1490A" w:rsidRPr="001D70AA">
        <w:rPr>
          <w:rStyle w:val="Hyperlink"/>
          <w:rFonts w:ascii="Times New Roman" w:hAnsi="Times New Roman"/>
          <w:b/>
          <w:color w:val="000000" w:themeColor="text1"/>
          <w:sz w:val="24"/>
          <w:szCs w:val="24"/>
        </w:rPr>
        <w:t>I</w:t>
      </w:r>
      <w:r w:rsidR="006409AA">
        <w:rPr>
          <w:rStyle w:val="Hyperlink"/>
          <w:rFonts w:ascii="Times New Roman" w:hAnsi="Times New Roman"/>
          <w:b/>
          <w:color w:val="000000" w:themeColor="text1"/>
          <w:sz w:val="24"/>
          <w:szCs w:val="24"/>
        </w:rPr>
        <w:t>C HEADLINES FOR 2019 AND 2020</w:t>
      </w:r>
    </w:p>
    <w:p w:rsidR="00745C0D" w:rsidRDefault="00745C0D" w:rsidP="00BF0380">
      <w:pPr>
        <w:spacing w:line="240" w:lineRule="auto"/>
        <w:rPr>
          <w:rStyle w:val="Hyperlink"/>
          <w:rFonts w:ascii="Times New Roman" w:hAnsi="Times New Roman"/>
          <w:b/>
          <w:color w:val="000000" w:themeColor="text1"/>
        </w:rPr>
      </w:pPr>
    </w:p>
    <w:p w:rsidR="00A9461B" w:rsidRPr="00243B95" w:rsidRDefault="00243B95"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Pr>
          <w:rStyle w:val="Hyperlink"/>
          <w:rFonts w:ascii="Times New Roman" w:hAnsi="Times New Roman"/>
          <w:b/>
          <w:color w:val="000000" w:themeColor="text1"/>
          <w:sz w:val="22"/>
          <w:szCs w:val="22"/>
          <w:u w:val="none"/>
        </w:rPr>
        <w:t>In 2018, t</w:t>
      </w:r>
      <w:r w:rsidR="00A9461B" w:rsidRPr="00243B95">
        <w:rPr>
          <w:rStyle w:val="Hyperlink"/>
          <w:rFonts w:ascii="Times New Roman" w:hAnsi="Times New Roman"/>
          <w:b/>
          <w:color w:val="000000" w:themeColor="text1"/>
          <w:sz w:val="22"/>
          <w:szCs w:val="22"/>
          <w:u w:val="none"/>
        </w:rPr>
        <w:t>he broadest measure of economic output</w:t>
      </w:r>
      <w:r w:rsidR="006409AA" w:rsidRPr="00243B95">
        <w:rPr>
          <w:rStyle w:val="Hyperlink"/>
          <w:rFonts w:ascii="Times New Roman" w:hAnsi="Times New Roman"/>
          <w:b/>
          <w:color w:val="000000" w:themeColor="text1"/>
          <w:sz w:val="22"/>
          <w:szCs w:val="22"/>
          <w:u w:val="none"/>
        </w:rPr>
        <w:t xml:space="preserve"> in North Carolina – real Gross Domestic Product – expanded at near the same rate as the nation and exceeded the Southeast rate</w:t>
      </w:r>
      <w:r>
        <w:rPr>
          <w:rStyle w:val="Hyperlink"/>
          <w:rFonts w:ascii="Times New Roman" w:hAnsi="Times New Roman"/>
          <w:b/>
          <w:color w:val="000000" w:themeColor="text1"/>
          <w:sz w:val="22"/>
          <w:szCs w:val="22"/>
          <w:u w:val="none"/>
        </w:rPr>
        <w:t>.</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Default="006409AA" w:rsidP="000D5532">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However, in 2019 real GDP growth in North Carolina is on track to underperform both the nation and Southeast.</w:t>
      </w:r>
    </w:p>
    <w:p w:rsidR="000D5532" w:rsidRPr="000D5532" w:rsidRDefault="000D5532" w:rsidP="000D5532">
      <w:pPr>
        <w:pStyle w:val="ListParagraph"/>
        <w:rPr>
          <w:rStyle w:val="Hyperlink"/>
          <w:rFonts w:ascii="Times New Roman" w:hAnsi="Times New Roman"/>
          <w:b/>
          <w:color w:val="000000" w:themeColor="text1"/>
          <w:sz w:val="22"/>
          <w:szCs w:val="22"/>
          <w:u w:val="none"/>
        </w:rPr>
      </w:pPr>
    </w:p>
    <w:p w:rsidR="000D5532" w:rsidRPr="000D5532" w:rsidRDefault="000D5532" w:rsidP="000D5532">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Information, professional services, and entertainment have been the leading growth sectors in North Carolina during the past year.  Conversely, farm output suffered a sign</w:t>
      </w:r>
      <w:r w:rsidR="000D5532">
        <w:rPr>
          <w:rStyle w:val="Hyperlink"/>
          <w:rFonts w:ascii="Times New Roman" w:hAnsi="Times New Roman"/>
          <w:b/>
          <w:color w:val="000000" w:themeColor="text1"/>
          <w:sz w:val="22"/>
          <w:szCs w:val="22"/>
          <w:u w:val="none"/>
        </w:rPr>
        <w:t>ificant reduction, much of it based on</w:t>
      </w:r>
      <w:r w:rsidRPr="00243B95">
        <w:rPr>
          <w:rStyle w:val="Hyperlink"/>
          <w:rFonts w:ascii="Times New Roman" w:hAnsi="Times New Roman"/>
          <w:b/>
          <w:color w:val="000000" w:themeColor="text1"/>
          <w:sz w:val="22"/>
          <w:szCs w:val="22"/>
          <w:u w:val="none"/>
        </w:rPr>
        <w:t xml:space="preserve"> trade tensions.</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If current trends continue, residential building permits will decline in 2019 in both North Carolina and the nation.</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Job g</w:t>
      </w:r>
      <w:r w:rsidR="00A944E1">
        <w:rPr>
          <w:rStyle w:val="Hyperlink"/>
          <w:rFonts w:ascii="Times New Roman" w:hAnsi="Times New Roman"/>
          <w:b/>
          <w:color w:val="000000" w:themeColor="text1"/>
          <w:sz w:val="22"/>
          <w:szCs w:val="22"/>
          <w:u w:val="none"/>
        </w:rPr>
        <w:t xml:space="preserve">rowth in North Carolina </w:t>
      </w:r>
      <w:r w:rsidRPr="00243B95">
        <w:rPr>
          <w:rStyle w:val="Hyperlink"/>
          <w:rFonts w:ascii="Times New Roman" w:hAnsi="Times New Roman"/>
          <w:b/>
          <w:color w:val="000000" w:themeColor="text1"/>
          <w:sz w:val="22"/>
          <w:szCs w:val="22"/>
          <w:u w:val="none"/>
        </w:rPr>
        <w:t>underperformed the nation in 2018 and is projected to do the same in 2019.</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Average North Carolina wage rates continue to be 10% under national wage rates, due to both a lower cost-of-living and lower educational attainment in the state.</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 xml:space="preserve">Middle-paying jobs are expanding faster in the state in </w:t>
      </w:r>
      <w:r w:rsidR="000D5532">
        <w:rPr>
          <w:rStyle w:val="Hyperlink"/>
          <w:rFonts w:ascii="Times New Roman" w:hAnsi="Times New Roman"/>
          <w:b/>
          <w:color w:val="000000" w:themeColor="text1"/>
          <w:sz w:val="22"/>
          <w:szCs w:val="22"/>
          <w:u w:val="none"/>
        </w:rPr>
        <w:t xml:space="preserve">2019 than in 2018 but are still </w:t>
      </w:r>
      <w:r w:rsidRPr="00243B95">
        <w:rPr>
          <w:rStyle w:val="Hyperlink"/>
          <w:rFonts w:ascii="Times New Roman" w:hAnsi="Times New Roman"/>
          <w:b/>
          <w:color w:val="000000" w:themeColor="text1"/>
          <w:sz w:val="22"/>
          <w:szCs w:val="22"/>
          <w:u w:val="none"/>
        </w:rPr>
        <w:t>exceeded by growth in lower-paying jobs.</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Asheville and Charlotte had the fastest job growth rates in the state in the past year</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6409AA" w:rsidRPr="00243B95" w:rsidRDefault="006409AA" w:rsidP="006409AA">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Annualized real GDP growth in North Carolina is forecasted to be in a range of 2.2% to 2.5% in both 2019 and 2020.</w:t>
      </w:r>
    </w:p>
    <w:p w:rsidR="006409AA" w:rsidRPr="00243B95" w:rsidRDefault="006409AA" w:rsidP="006409AA">
      <w:pPr>
        <w:pStyle w:val="ListParagraph"/>
        <w:spacing w:line="240" w:lineRule="auto"/>
        <w:rPr>
          <w:rStyle w:val="Hyperlink"/>
          <w:rFonts w:ascii="Times New Roman" w:hAnsi="Times New Roman"/>
          <w:b/>
          <w:color w:val="000000" w:themeColor="text1"/>
          <w:sz w:val="22"/>
          <w:szCs w:val="22"/>
          <w:u w:val="none"/>
        </w:rPr>
      </w:pPr>
    </w:p>
    <w:p w:rsidR="00A9461B" w:rsidRPr="00243B95" w:rsidRDefault="006409AA" w:rsidP="00243B95">
      <w:pPr>
        <w:pStyle w:val="ListParagraph"/>
        <w:numPr>
          <w:ilvl w:val="0"/>
          <w:numId w:val="3"/>
        </w:numPr>
        <w:spacing w:line="240" w:lineRule="auto"/>
        <w:rPr>
          <w:rStyle w:val="Hyperlink"/>
          <w:rFonts w:ascii="Times New Roman" w:hAnsi="Times New Roman"/>
          <w:b/>
          <w:color w:val="000000" w:themeColor="text1"/>
          <w:sz w:val="22"/>
          <w:szCs w:val="22"/>
          <w:u w:val="none"/>
        </w:rPr>
      </w:pPr>
      <w:r w:rsidRPr="00243B95">
        <w:rPr>
          <w:rStyle w:val="Hyperlink"/>
          <w:rFonts w:ascii="Times New Roman" w:hAnsi="Times New Roman"/>
          <w:b/>
          <w:color w:val="000000" w:themeColor="text1"/>
          <w:sz w:val="22"/>
          <w:szCs w:val="22"/>
          <w:u w:val="none"/>
        </w:rPr>
        <w:t>Asheville will have the lowest unemployment rate in the state in 2020 and Rocky Mount will have the highest.</w:t>
      </w:r>
    </w:p>
    <w:p w:rsidR="00293467" w:rsidRPr="00E72D55" w:rsidRDefault="00BF0380" w:rsidP="00584469">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Statewide </w:t>
      </w:r>
      <w:r w:rsidR="00CF5C9B">
        <w:rPr>
          <w:rFonts w:ascii="Times New Roman" w:hAnsi="Times New Roman" w:cs="Times New Roman"/>
          <w:b/>
          <w:sz w:val="24"/>
          <w:szCs w:val="24"/>
        </w:rPr>
        <w:t xml:space="preserve">and </w:t>
      </w:r>
      <w:r w:rsidR="00190EAF">
        <w:rPr>
          <w:rFonts w:ascii="Times New Roman" w:hAnsi="Times New Roman" w:cs="Times New Roman"/>
          <w:b/>
          <w:sz w:val="24"/>
          <w:szCs w:val="24"/>
        </w:rPr>
        <w:t xml:space="preserve">Sector </w:t>
      </w:r>
      <w:r>
        <w:rPr>
          <w:rFonts w:ascii="Times New Roman" w:hAnsi="Times New Roman" w:cs="Times New Roman"/>
          <w:b/>
          <w:sz w:val="24"/>
          <w:szCs w:val="24"/>
        </w:rPr>
        <w:t>Trends</w:t>
      </w:r>
    </w:p>
    <w:p w:rsidR="00596D05" w:rsidRDefault="008A190D">
      <w:pPr>
        <w:rPr>
          <w:rFonts w:ascii="Times New Roman" w:hAnsi="Times New Roman" w:cs="Times New Roman"/>
          <w:sz w:val="24"/>
          <w:szCs w:val="24"/>
        </w:rPr>
      </w:pPr>
      <w:r>
        <w:rPr>
          <w:rFonts w:ascii="Times New Roman" w:hAnsi="Times New Roman" w:cs="Times New Roman"/>
          <w:sz w:val="24"/>
          <w:szCs w:val="24"/>
        </w:rPr>
        <w:tab/>
      </w:r>
      <w:r w:rsidR="00596D05">
        <w:rPr>
          <w:rFonts w:ascii="Times New Roman" w:hAnsi="Times New Roman" w:cs="Times New Roman"/>
          <w:sz w:val="24"/>
          <w:szCs w:val="24"/>
        </w:rPr>
        <w:t>North Carolina completed 2018 with a 2.9% increase in real (inflation-adjusted) Gross Domestic Product (GDP), an indicator of the aggregate production of goods and services in the state. While only first quarter numbers are available for the state in 2019, the value was positive, suggesting economic growth has continued in 2019 (Figure 1).</w:t>
      </w:r>
    </w:p>
    <w:p w:rsidR="00DB57E0" w:rsidRDefault="000D5532" w:rsidP="00596D05">
      <w:pPr>
        <w:ind w:firstLine="720"/>
        <w:rPr>
          <w:rFonts w:ascii="Times New Roman" w:hAnsi="Times New Roman" w:cs="Times New Roman"/>
          <w:sz w:val="24"/>
          <w:szCs w:val="24"/>
        </w:rPr>
      </w:pPr>
      <w:r>
        <w:rPr>
          <w:rFonts w:ascii="Times New Roman" w:hAnsi="Times New Roman" w:cs="Times New Roman"/>
          <w:sz w:val="24"/>
          <w:szCs w:val="24"/>
        </w:rPr>
        <w:t>Although</w:t>
      </w:r>
      <w:r w:rsidR="00596D05">
        <w:rPr>
          <w:rFonts w:ascii="Times New Roman" w:hAnsi="Times New Roman" w:cs="Times New Roman"/>
          <w:sz w:val="24"/>
          <w:szCs w:val="24"/>
        </w:rPr>
        <w:t xml:space="preserve"> North Carolina’s GDP growth rate has trende</w:t>
      </w:r>
      <w:r>
        <w:rPr>
          <w:rFonts w:ascii="Times New Roman" w:hAnsi="Times New Roman" w:cs="Times New Roman"/>
          <w:sz w:val="24"/>
          <w:szCs w:val="24"/>
        </w:rPr>
        <w:t>d higher since 2016, it has</w:t>
      </w:r>
      <w:r w:rsidR="00596D05">
        <w:rPr>
          <w:rFonts w:ascii="Times New Roman" w:hAnsi="Times New Roman" w:cs="Times New Roman"/>
          <w:sz w:val="24"/>
          <w:szCs w:val="24"/>
        </w:rPr>
        <w:t xml:space="preserve"> exceeded the national </w:t>
      </w:r>
      <w:r w:rsidR="00A944E1">
        <w:rPr>
          <w:rFonts w:ascii="Times New Roman" w:hAnsi="Times New Roman" w:cs="Times New Roman"/>
          <w:sz w:val="24"/>
          <w:szCs w:val="24"/>
        </w:rPr>
        <w:t xml:space="preserve">rate in </w:t>
      </w:r>
      <w:r>
        <w:rPr>
          <w:rFonts w:ascii="Times New Roman" w:hAnsi="Times New Roman" w:cs="Times New Roman"/>
          <w:sz w:val="24"/>
          <w:szCs w:val="24"/>
        </w:rPr>
        <w:t xml:space="preserve">just </w:t>
      </w:r>
      <w:r w:rsidR="00A944E1">
        <w:rPr>
          <w:rFonts w:ascii="Times New Roman" w:hAnsi="Times New Roman" w:cs="Times New Roman"/>
          <w:sz w:val="24"/>
          <w:szCs w:val="24"/>
        </w:rPr>
        <w:t>one of those years (2017</w:t>
      </w:r>
      <w:r w:rsidR="00596D05">
        <w:rPr>
          <w:rFonts w:ascii="Times New Roman" w:hAnsi="Times New Roman" w:cs="Times New Roman"/>
          <w:sz w:val="24"/>
          <w:szCs w:val="24"/>
        </w:rPr>
        <w:t>).  Likewise, the state GDP growth rate has only outpaced the rate for the Southeast in one of the last four years (</w:t>
      </w:r>
      <w:r>
        <w:rPr>
          <w:rFonts w:ascii="Times New Roman" w:hAnsi="Times New Roman" w:cs="Times New Roman"/>
          <w:sz w:val="24"/>
          <w:szCs w:val="24"/>
        </w:rPr>
        <w:t xml:space="preserve">also </w:t>
      </w:r>
      <w:r w:rsidR="00596D05">
        <w:rPr>
          <w:rFonts w:ascii="Times New Roman" w:hAnsi="Times New Roman" w:cs="Times New Roman"/>
          <w:sz w:val="24"/>
          <w:szCs w:val="24"/>
        </w:rPr>
        <w:t>2017)</w:t>
      </w:r>
      <w:r w:rsidR="009F20AF">
        <w:rPr>
          <w:rFonts w:ascii="Times New Roman" w:hAnsi="Times New Roman" w:cs="Times New Roman"/>
          <w:sz w:val="24"/>
          <w:szCs w:val="24"/>
        </w:rPr>
        <w:t>.</w:t>
      </w:r>
      <w:r w:rsidR="00843089">
        <w:rPr>
          <w:rStyle w:val="FootnoteReference"/>
          <w:rFonts w:ascii="Times New Roman" w:hAnsi="Times New Roman" w:cs="Times New Roman"/>
          <w:sz w:val="24"/>
          <w:szCs w:val="24"/>
        </w:rPr>
        <w:footnoteReference w:id="1"/>
      </w:r>
      <w:r w:rsidR="008A190D">
        <w:rPr>
          <w:rFonts w:ascii="Times New Roman" w:hAnsi="Times New Roman" w:cs="Times New Roman"/>
          <w:sz w:val="24"/>
          <w:szCs w:val="24"/>
        </w:rPr>
        <w:t xml:space="preserve"> </w:t>
      </w:r>
      <w:r w:rsidR="001E3F84">
        <w:rPr>
          <w:rFonts w:ascii="Times New Roman" w:hAnsi="Times New Roman" w:cs="Times New Roman"/>
          <w:sz w:val="24"/>
          <w:szCs w:val="24"/>
        </w:rPr>
        <w:t xml:space="preserve"> </w:t>
      </w:r>
      <w:r w:rsidR="00843089">
        <w:rPr>
          <w:rFonts w:ascii="Times New Roman" w:hAnsi="Times New Roman" w:cs="Times New Roman"/>
          <w:sz w:val="24"/>
          <w:szCs w:val="24"/>
        </w:rPr>
        <w:t xml:space="preserve">  </w:t>
      </w:r>
    </w:p>
    <w:p w:rsidR="00F523E5" w:rsidRDefault="00493B15">
      <w:pPr>
        <w:rPr>
          <w:rFonts w:ascii="Times New Roman" w:hAnsi="Times New Roman" w:cs="Times New Roman"/>
          <w:sz w:val="24"/>
          <w:szCs w:val="24"/>
        </w:rPr>
      </w:pPr>
      <w:r>
        <w:rPr>
          <w:rFonts w:ascii="Times New Roman" w:hAnsi="Times New Roman" w:cs="Times New Roman"/>
          <w:sz w:val="24"/>
          <w:szCs w:val="24"/>
        </w:rPr>
        <w:tab/>
      </w:r>
      <w:r w:rsidR="00596D05">
        <w:rPr>
          <w:rFonts w:ascii="Times New Roman" w:hAnsi="Times New Roman" w:cs="Times New Roman"/>
          <w:sz w:val="24"/>
          <w:szCs w:val="24"/>
        </w:rPr>
        <w:t>Figures 2 and 3 look more closely at the changes in North Carolina GDP during the past year, measured from 1</w:t>
      </w:r>
      <w:r w:rsidR="00596D05" w:rsidRPr="00596D05">
        <w:rPr>
          <w:rFonts w:ascii="Times New Roman" w:hAnsi="Times New Roman" w:cs="Times New Roman"/>
          <w:sz w:val="24"/>
          <w:szCs w:val="24"/>
          <w:vertAlign w:val="superscript"/>
        </w:rPr>
        <w:t>st</w:t>
      </w:r>
      <w:r w:rsidR="00596D05">
        <w:rPr>
          <w:rFonts w:ascii="Times New Roman" w:hAnsi="Times New Roman" w:cs="Times New Roman"/>
          <w:sz w:val="24"/>
          <w:szCs w:val="24"/>
        </w:rPr>
        <w:t xml:space="preserve"> Quarter 2018 to 1</w:t>
      </w:r>
      <w:r w:rsidR="00596D05" w:rsidRPr="00596D05">
        <w:rPr>
          <w:rFonts w:ascii="Times New Roman" w:hAnsi="Times New Roman" w:cs="Times New Roman"/>
          <w:sz w:val="24"/>
          <w:szCs w:val="24"/>
          <w:vertAlign w:val="superscript"/>
        </w:rPr>
        <w:t>st</w:t>
      </w:r>
      <w:r w:rsidR="00596D05">
        <w:rPr>
          <w:rFonts w:ascii="Times New Roman" w:hAnsi="Times New Roman" w:cs="Times New Roman"/>
          <w:sz w:val="24"/>
          <w:szCs w:val="24"/>
        </w:rPr>
        <w:t xml:space="preserve"> Quarter 2019.  Figure 2 shows the economic sectors where the state GDP growth rate exceeded the national growth rate.  </w:t>
      </w:r>
      <w:r w:rsidR="00745F06">
        <w:rPr>
          <w:rFonts w:ascii="Times New Roman" w:hAnsi="Times New Roman" w:cs="Times New Roman"/>
          <w:sz w:val="24"/>
          <w:szCs w:val="24"/>
        </w:rPr>
        <w:t>Among them are information, professional services, and financial services.  These are sectors with both high productivity and high wages per worker.</w:t>
      </w:r>
    </w:p>
    <w:p w:rsidR="00745F06" w:rsidRDefault="00745F06">
      <w:pPr>
        <w:rPr>
          <w:rFonts w:ascii="Times New Roman" w:hAnsi="Times New Roman" w:cs="Times New Roman"/>
          <w:sz w:val="24"/>
          <w:szCs w:val="24"/>
        </w:rPr>
      </w:pPr>
    </w:p>
    <w:p w:rsidR="008917F2" w:rsidRPr="00584469" w:rsidRDefault="00584469"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1.  Real GDP Annual Growth Rat</w:t>
      </w:r>
      <w:r w:rsidR="001E3F84">
        <w:rPr>
          <w:rFonts w:ascii="Times New Roman" w:hAnsi="Times New Roman" w:cs="Times New Roman"/>
          <w:b/>
          <w:sz w:val="24"/>
          <w:szCs w:val="24"/>
        </w:rPr>
        <w:t xml:space="preserve">e (%) in </w:t>
      </w:r>
      <w:r>
        <w:rPr>
          <w:rFonts w:ascii="Times New Roman" w:hAnsi="Times New Roman" w:cs="Times New Roman"/>
          <w:b/>
          <w:sz w:val="24"/>
          <w:szCs w:val="24"/>
        </w:rPr>
        <w:t xml:space="preserve">North Carolina, </w:t>
      </w:r>
      <w:r w:rsidR="001E3F84">
        <w:rPr>
          <w:rFonts w:ascii="Times New Roman" w:hAnsi="Times New Roman" w:cs="Times New Roman"/>
          <w:b/>
          <w:sz w:val="24"/>
          <w:szCs w:val="24"/>
        </w:rPr>
        <w:t xml:space="preserve">the </w:t>
      </w:r>
      <w:r w:rsidR="00CF5C9B">
        <w:rPr>
          <w:rFonts w:ascii="Times New Roman" w:hAnsi="Times New Roman" w:cs="Times New Roman"/>
          <w:b/>
          <w:sz w:val="24"/>
          <w:szCs w:val="24"/>
        </w:rPr>
        <w:t xml:space="preserve">US, and Southeast   </w:t>
      </w:r>
      <w:r w:rsidR="000D5532">
        <w:rPr>
          <w:rFonts w:ascii="Times New Roman" w:hAnsi="Times New Roman" w:cs="Times New Roman"/>
          <w:b/>
          <w:sz w:val="24"/>
          <w:szCs w:val="24"/>
        </w:rPr>
        <w:t>Economies, 2010-2019</w:t>
      </w:r>
      <w:r w:rsidR="00B90C41">
        <w:rPr>
          <w:rFonts w:ascii="Times New Roman" w:hAnsi="Times New Roman" w:cs="Times New Roman"/>
          <w:b/>
          <w:sz w:val="24"/>
          <w:szCs w:val="24"/>
        </w:rPr>
        <w:t>.</w:t>
      </w:r>
    </w:p>
    <w:p w:rsidR="008917F2" w:rsidRDefault="008917F2" w:rsidP="00584469">
      <w:pPr>
        <w:spacing w:line="240" w:lineRule="auto"/>
        <w:rPr>
          <w:rFonts w:ascii="Times New Roman" w:hAnsi="Times New Roman" w:cs="Times New Roman"/>
          <w:sz w:val="24"/>
          <w:szCs w:val="24"/>
        </w:rPr>
      </w:pPr>
      <w:r w:rsidRPr="008917F2">
        <w:rPr>
          <w:rFonts w:ascii="Times New Roman" w:hAnsi="Times New Roman" w:cs="Times New Roman"/>
          <w:noProof/>
          <w:sz w:val="24"/>
          <w:szCs w:val="24"/>
        </w:rPr>
        <w:drawing>
          <wp:inline distT="0" distB="0" distL="0" distR="0" wp14:anchorId="7E383554" wp14:editId="514983A6">
            <wp:extent cx="5943600" cy="3770713"/>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4469">
        <w:rPr>
          <w:rFonts w:ascii="Times New Roman" w:hAnsi="Times New Roman" w:cs="Times New Roman"/>
          <w:sz w:val="24"/>
          <w:szCs w:val="24"/>
        </w:rPr>
        <w:t xml:space="preserve"> </w:t>
      </w:r>
    </w:p>
    <w:p w:rsidR="00596D05" w:rsidRPr="00745F06" w:rsidRDefault="00584469" w:rsidP="00584469">
      <w:pPr>
        <w:spacing w:line="240" w:lineRule="auto"/>
        <w:rPr>
          <w:rFonts w:cs="Times New Roman"/>
        </w:rPr>
      </w:pPr>
      <w:r>
        <w:rPr>
          <w:rFonts w:cs="Times New Roman"/>
        </w:rPr>
        <w:t>Source: U</w:t>
      </w:r>
      <w:r w:rsidR="00267957">
        <w:rPr>
          <w:rFonts w:cs="Times New Roman"/>
        </w:rPr>
        <w:t>.S. Bureau of Economic Analysis</w:t>
      </w:r>
      <w:r w:rsidR="00F523E5">
        <w:rPr>
          <w:rFonts w:cs="Times New Roman"/>
        </w:rPr>
        <w:t>.  Rates</w:t>
      </w:r>
      <w:r w:rsidR="001B50A6">
        <w:rPr>
          <w:rFonts w:cs="Times New Roman"/>
        </w:rPr>
        <w:t xml:space="preserve"> for 2019</w:t>
      </w:r>
      <w:r w:rsidR="00AC076D">
        <w:rPr>
          <w:rFonts w:cs="Times New Roman"/>
        </w:rPr>
        <w:t xml:space="preserve"> </w:t>
      </w:r>
      <w:r w:rsidR="00F523E5">
        <w:rPr>
          <w:rFonts w:cs="Times New Roman"/>
        </w:rPr>
        <w:t xml:space="preserve">are </w:t>
      </w:r>
      <w:r w:rsidR="00D1798A">
        <w:rPr>
          <w:rFonts w:cs="Times New Roman"/>
        </w:rPr>
        <w:t>an</w:t>
      </w:r>
      <w:r w:rsidR="001B50A6">
        <w:rPr>
          <w:rFonts w:cs="Times New Roman"/>
        </w:rPr>
        <w:t>nualized based on the first quarter</w:t>
      </w:r>
      <w:r w:rsidR="00D1798A">
        <w:rPr>
          <w:rFonts w:cs="Times New Roman"/>
        </w:rPr>
        <w:t xml:space="preserve"> of the year.</w:t>
      </w:r>
    </w:p>
    <w:p w:rsidR="00190EAF" w:rsidRPr="0078215C" w:rsidRDefault="00B11105"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2.  Economic Sectors Where NC Growth Rate Exceeded National Growth Rate,</w:t>
      </w:r>
      <w:r w:rsidR="001B50A6">
        <w:rPr>
          <w:rFonts w:ascii="Times New Roman" w:hAnsi="Times New Roman" w:cs="Times New Roman"/>
          <w:b/>
          <w:sz w:val="24"/>
          <w:szCs w:val="24"/>
        </w:rPr>
        <w:t xml:space="preserve"> </w:t>
      </w:r>
      <w:r w:rsidR="00BA1069">
        <w:rPr>
          <w:rFonts w:ascii="Times New Roman" w:hAnsi="Times New Roman" w:cs="Times New Roman"/>
          <w:b/>
          <w:sz w:val="24"/>
          <w:szCs w:val="24"/>
        </w:rPr>
        <w:t xml:space="preserve">         </w:t>
      </w:r>
      <w:r w:rsidR="001B50A6">
        <w:rPr>
          <w:rFonts w:ascii="Times New Roman" w:hAnsi="Times New Roman" w:cs="Times New Roman"/>
          <w:b/>
          <w:sz w:val="24"/>
          <w:szCs w:val="24"/>
        </w:rPr>
        <w:t xml:space="preserve"> </w:t>
      </w:r>
      <w:r>
        <w:rPr>
          <w:rFonts w:ascii="Times New Roman" w:hAnsi="Times New Roman" w:cs="Times New Roman"/>
          <w:b/>
          <w:sz w:val="24"/>
          <w:szCs w:val="24"/>
        </w:rPr>
        <w:t>1</w:t>
      </w:r>
      <w:r w:rsidR="00BA1069" w:rsidRPr="00BA1069">
        <w:rPr>
          <w:rFonts w:ascii="Times New Roman" w:hAnsi="Times New Roman" w:cs="Times New Roman"/>
          <w:b/>
          <w:sz w:val="24"/>
          <w:szCs w:val="24"/>
          <w:vertAlign w:val="superscript"/>
        </w:rPr>
        <w:t>st</w:t>
      </w:r>
      <w:r w:rsidR="00BA1069">
        <w:rPr>
          <w:rFonts w:ascii="Times New Roman" w:hAnsi="Times New Roman" w:cs="Times New Roman"/>
          <w:b/>
          <w:sz w:val="24"/>
          <w:szCs w:val="24"/>
        </w:rPr>
        <w:t xml:space="preserve"> </w:t>
      </w:r>
      <w:r w:rsidR="001B50A6">
        <w:rPr>
          <w:rFonts w:ascii="Times New Roman" w:hAnsi="Times New Roman" w:cs="Times New Roman"/>
          <w:b/>
          <w:sz w:val="24"/>
          <w:szCs w:val="24"/>
        </w:rPr>
        <w:t>Quarter 2018</w:t>
      </w:r>
      <w:r w:rsidR="00F523E5">
        <w:rPr>
          <w:rFonts w:ascii="Times New Roman" w:hAnsi="Times New Roman" w:cs="Times New Roman"/>
          <w:b/>
          <w:sz w:val="24"/>
          <w:szCs w:val="24"/>
        </w:rPr>
        <w:t xml:space="preserve"> to </w:t>
      </w:r>
      <w:r w:rsidR="001B50A6">
        <w:rPr>
          <w:rFonts w:ascii="Times New Roman" w:hAnsi="Times New Roman" w:cs="Times New Roman"/>
          <w:b/>
          <w:sz w:val="24"/>
          <w:szCs w:val="24"/>
        </w:rPr>
        <w:t>1</w:t>
      </w:r>
      <w:r w:rsidR="001B50A6">
        <w:rPr>
          <w:rFonts w:ascii="Times New Roman" w:hAnsi="Times New Roman" w:cs="Times New Roman"/>
          <w:b/>
          <w:sz w:val="24"/>
          <w:szCs w:val="24"/>
          <w:vertAlign w:val="superscript"/>
        </w:rPr>
        <w:t>st</w:t>
      </w:r>
      <w:r w:rsidR="001B50A6">
        <w:rPr>
          <w:rFonts w:ascii="Times New Roman" w:hAnsi="Times New Roman" w:cs="Times New Roman"/>
          <w:b/>
          <w:sz w:val="24"/>
          <w:szCs w:val="24"/>
        </w:rPr>
        <w:t xml:space="preserve"> Quarter 2019</w:t>
      </w:r>
      <w:r w:rsidR="00AC076D">
        <w:rPr>
          <w:rFonts w:ascii="Times New Roman" w:hAnsi="Times New Roman" w:cs="Times New Roman"/>
          <w:b/>
          <w:sz w:val="24"/>
          <w:szCs w:val="24"/>
        </w:rPr>
        <w:t>.</w:t>
      </w:r>
    </w:p>
    <w:p w:rsidR="00190EAF" w:rsidRDefault="00413F9A" w:rsidP="00584469">
      <w:pPr>
        <w:spacing w:line="240" w:lineRule="auto"/>
        <w:rPr>
          <w:rFonts w:cs="Times New Roman"/>
        </w:rPr>
      </w:pPr>
      <w:r>
        <w:rPr>
          <w:rFonts w:cs="Times New Roman"/>
          <w:noProof/>
        </w:rPr>
        <w:drawing>
          <wp:inline distT="0" distB="0" distL="0" distR="0">
            <wp:extent cx="5995035" cy="2806811"/>
            <wp:effectExtent l="0" t="0" r="5715"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15C" w:rsidRDefault="0078215C" w:rsidP="00584469">
      <w:pPr>
        <w:spacing w:line="240" w:lineRule="auto"/>
        <w:rPr>
          <w:rFonts w:cs="Times New Roman"/>
        </w:rPr>
      </w:pPr>
      <w:r>
        <w:rPr>
          <w:rFonts w:cs="Times New Roman"/>
        </w:rPr>
        <w:t>Source:  U.S. Bureau of Economic Analysis.</w:t>
      </w:r>
    </w:p>
    <w:p w:rsidR="00BA1069" w:rsidRDefault="00BA1069" w:rsidP="00584469">
      <w:pPr>
        <w:spacing w:line="240" w:lineRule="auto"/>
        <w:rPr>
          <w:rFonts w:cs="Times New Roman"/>
        </w:rPr>
      </w:pPr>
    </w:p>
    <w:p w:rsidR="00BA1069" w:rsidRDefault="00BA1069"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3.  Economic Sector</w:t>
      </w:r>
      <w:r w:rsidR="00A944E1">
        <w:rPr>
          <w:rFonts w:ascii="Times New Roman" w:hAnsi="Times New Roman" w:cs="Times New Roman"/>
          <w:b/>
          <w:sz w:val="24"/>
          <w:szCs w:val="24"/>
        </w:rPr>
        <w:t>s</w:t>
      </w:r>
      <w:r>
        <w:rPr>
          <w:rFonts w:ascii="Times New Roman" w:hAnsi="Times New Roman" w:cs="Times New Roman"/>
          <w:b/>
          <w:sz w:val="24"/>
          <w:szCs w:val="24"/>
        </w:rPr>
        <w:t xml:space="preserve"> Where NC Growth Rate Was Below National Growth Rate,          1</w:t>
      </w:r>
      <w:r w:rsidRPr="00BA1069">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2018 to 1</w:t>
      </w:r>
      <w:r w:rsidRPr="00BA1069">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2019.</w:t>
      </w:r>
    </w:p>
    <w:p w:rsidR="00745F06" w:rsidRDefault="00BA1069" w:rsidP="00584469">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35040" cy="3562185"/>
            <wp:effectExtent l="0" t="0" r="381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b/>
          <w:sz w:val="24"/>
          <w:szCs w:val="24"/>
        </w:rPr>
        <w:t xml:space="preserve">          </w:t>
      </w:r>
    </w:p>
    <w:p w:rsidR="00745F06" w:rsidRPr="00797F98" w:rsidRDefault="00797F98" w:rsidP="00584469">
      <w:pPr>
        <w:spacing w:line="240" w:lineRule="auto"/>
        <w:rPr>
          <w:rFonts w:cstheme="minorHAnsi"/>
        </w:rPr>
      </w:pPr>
      <w:r>
        <w:rPr>
          <w:rFonts w:cstheme="minorHAnsi"/>
        </w:rPr>
        <w:t xml:space="preserve">Source:  </w:t>
      </w:r>
      <w:r>
        <w:rPr>
          <w:rFonts w:cs="Times New Roman"/>
        </w:rPr>
        <w:t>U.S. Bureau of Economic Analysis.</w:t>
      </w:r>
    </w:p>
    <w:p w:rsidR="00797F98" w:rsidRDefault="00745F06" w:rsidP="00745F06">
      <w:pPr>
        <w:spacing w:line="24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Figure 3 shows sectors that have underperformed their national counterparts during the year.  </w:t>
      </w:r>
      <w:r w:rsidR="00BA1069">
        <w:rPr>
          <w:rFonts w:ascii="Times New Roman" w:hAnsi="Times New Roman" w:cs="Times New Roman"/>
          <w:b/>
          <w:sz w:val="24"/>
          <w:szCs w:val="24"/>
        </w:rPr>
        <w:t xml:space="preserve"> </w:t>
      </w:r>
      <w:r>
        <w:rPr>
          <w:rFonts w:ascii="Times New Roman" w:hAnsi="Times New Roman" w:cs="Times New Roman"/>
          <w:sz w:val="24"/>
          <w:szCs w:val="24"/>
        </w:rPr>
        <w:t>Noticeable is the large reduction of over 10% in North Carolina farm production compared to the modest decline of 0.1% for the national sector.  This comparison suggests the trad</w:t>
      </w:r>
      <w:r w:rsidR="000D5532">
        <w:rPr>
          <w:rFonts w:ascii="Times New Roman" w:hAnsi="Times New Roman" w:cs="Times New Roman"/>
          <w:sz w:val="24"/>
          <w:szCs w:val="24"/>
        </w:rPr>
        <w:t xml:space="preserve">e tensions with China – a country that has </w:t>
      </w:r>
      <w:r>
        <w:rPr>
          <w:rFonts w:ascii="Times New Roman" w:hAnsi="Times New Roman" w:cs="Times New Roman"/>
          <w:sz w:val="24"/>
          <w:szCs w:val="24"/>
        </w:rPr>
        <w:t>traditionally been a major buyer of US farm commodities – have adversely impacted North Carolina farmers to a much greater extent than farmers in the country.</w:t>
      </w:r>
      <w:r w:rsidR="00BA1069">
        <w:rPr>
          <w:rFonts w:ascii="Times New Roman" w:hAnsi="Times New Roman" w:cs="Times New Roman"/>
          <w:b/>
          <w:sz w:val="24"/>
          <w:szCs w:val="24"/>
        </w:rPr>
        <w:t xml:space="preserve">       </w:t>
      </w:r>
    </w:p>
    <w:p w:rsidR="007A7339" w:rsidRDefault="00BA1069" w:rsidP="00745F06">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6366EA" w:rsidRPr="00797F98" w:rsidRDefault="00797F98" w:rsidP="00493B15">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Another important macroeconomic metric is acti</w:t>
      </w:r>
      <w:r w:rsidR="00A944E1">
        <w:rPr>
          <w:rFonts w:ascii="Times New Roman" w:hAnsi="Times New Roman" w:cs="Times New Roman"/>
          <w:sz w:val="24"/>
          <w:szCs w:val="24"/>
        </w:rPr>
        <w:t>vity in the construction market,</w:t>
      </w:r>
      <w:r>
        <w:rPr>
          <w:rFonts w:ascii="Times New Roman" w:hAnsi="Times New Roman" w:cs="Times New Roman"/>
          <w:sz w:val="24"/>
          <w:szCs w:val="24"/>
        </w:rPr>
        <w:t xml:space="preserve"> particularly the market for residential real estate.  Figure 4 shows changes in residential building permits in North Carolina, the US, and the Southeastern states during each of the last fiv</w:t>
      </w:r>
      <w:r w:rsidR="00A944E1">
        <w:rPr>
          <w:rFonts w:ascii="Times New Roman" w:hAnsi="Times New Roman" w:cs="Times New Roman"/>
          <w:sz w:val="24"/>
          <w:szCs w:val="24"/>
        </w:rPr>
        <w:t>e years.  For the years from 201</w:t>
      </w:r>
      <w:r>
        <w:rPr>
          <w:rFonts w:ascii="Times New Roman" w:hAnsi="Times New Roman" w:cs="Times New Roman"/>
          <w:sz w:val="24"/>
          <w:szCs w:val="24"/>
        </w:rPr>
        <w:t>5 to 2018, there were increases in residential building permits in all three geographic areas, although the trend in the growth rates was declining.  Through the first half of 2019, residential building permits in North Carolina and the US declined, while there was a modest increase in the Southeastern states.  Higher interest rates paired with rising housing prices were likely the reasons for the pullback in permits.  However, with the Federal Reserve already decreasing their key interest rate once in 2019 (in July), and with the prospects for more rate cuts, there may be support for a rebound in residential building permits.</w:t>
      </w:r>
    </w:p>
    <w:p w:rsidR="00762D6B" w:rsidRDefault="00762D6B" w:rsidP="00584469">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762D6B" w:rsidRDefault="00762D6B" w:rsidP="00584469">
      <w:pPr>
        <w:spacing w:line="240" w:lineRule="auto"/>
        <w:rPr>
          <w:rFonts w:ascii="Times New Roman" w:hAnsi="Times New Roman" w:cs="Times New Roman"/>
          <w:b/>
          <w:sz w:val="24"/>
          <w:szCs w:val="24"/>
        </w:rPr>
      </w:pPr>
    </w:p>
    <w:p w:rsidR="00DE0B10" w:rsidRDefault="007A1367"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4</w:t>
      </w:r>
      <w:r w:rsidR="00A703E9">
        <w:rPr>
          <w:rFonts w:ascii="Times New Roman" w:hAnsi="Times New Roman" w:cs="Times New Roman"/>
          <w:b/>
          <w:sz w:val="24"/>
          <w:szCs w:val="24"/>
        </w:rPr>
        <w:t xml:space="preserve">.  Growth </w:t>
      </w:r>
      <w:r w:rsidR="00762D6B">
        <w:rPr>
          <w:rFonts w:ascii="Times New Roman" w:hAnsi="Times New Roman" w:cs="Times New Roman"/>
          <w:b/>
          <w:sz w:val="24"/>
          <w:szCs w:val="24"/>
        </w:rPr>
        <w:t xml:space="preserve">Rates </w:t>
      </w:r>
      <w:r w:rsidR="00A703E9">
        <w:rPr>
          <w:rFonts w:ascii="Times New Roman" w:hAnsi="Times New Roman" w:cs="Times New Roman"/>
          <w:b/>
          <w:sz w:val="24"/>
          <w:szCs w:val="24"/>
        </w:rPr>
        <w:t xml:space="preserve">in </w:t>
      </w:r>
      <w:r w:rsidR="00DE0B10">
        <w:rPr>
          <w:rFonts w:ascii="Times New Roman" w:hAnsi="Times New Roman" w:cs="Times New Roman"/>
          <w:b/>
          <w:sz w:val="24"/>
          <w:szCs w:val="24"/>
        </w:rPr>
        <w:t>Residential Building Pe</w:t>
      </w:r>
      <w:r w:rsidR="00CF5C9B">
        <w:rPr>
          <w:rFonts w:ascii="Times New Roman" w:hAnsi="Times New Roman" w:cs="Times New Roman"/>
          <w:b/>
          <w:sz w:val="24"/>
          <w:szCs w:val="24"/>
        </w:rPr>
        <w:t>rmits, NC, US,</w:t>
      </w:r>
      <w:r w:rsidR="00A703E9">
        <w:rPr>
          <w:rFonts w:ascii="Times New Roman" w:hAnsi="Times New Roman" w:cs="Times New Roman"/>
          <w:b/>
          <w:sz w:val="24"/>
          <w:szCs w:val="24"/>
        </w:rPr>
        <w:t xml:space="preserve"> </w:t>
      </w:r>
      <w:r w:rsidR="00762D6B">
        <w:rPr>
          <w:rFonts w:ascii="Times New Roman" w:hAnsi="Times New Roman" w:cs="Times New Roman"/>
          <w:b/>
          <w:sz w:val="24"/>
          <w:szCs w:val="24"/>
        </w:rPr>
        <w:t>a</w:t>
      </w:r>
      <w:r w:rsidR="00A703E9">
        <w:rPr>
          <w:rFonts w:ascii="Times New Roman" w:hAnsi="Times New Roman" w:cs="Times New Roman"/>
          <w:b/>
          <w:sz w:val="24"/>
          <w:szCs w:val="24"/>
        </w:rPr>
        <w:t xml:space="preserve">nd </w:t>
      </w:r>
      <w:r w:rsidR="00762D6B">
        <w:rPr>
          <w:rFonts w:ascii="Times New Roman" w:hAnsi="Times New Roman" w:cs="Times New Roman"/>
          <w:b/>
          <w:sz w:val="24"/>
          <w:szCs w:val="24"/>
        </w:rPr>
        <w:t>SE</w:t>
      </w:r>
      <w:r w:rsidR="00797F98">
        <w:rPr>
          <w:rFonts w:ascii="Times New Roman" w:hAnsi="Times New Roman" w:cs="Times New Roman"/>
          <w:b/>
          <w:sz w:val="24"/>
          <w:szCs w:val="24"/>
        </w:rPr>
        <w:t>, 2015-19</w:t>
      </w:r>
      <w:r w:rsidR="00DE0B10">
        <w:rPr>
          <w:rFonts w:ascii="Times New Roman" w:hAnsi="Times New Roman" w:cs="Times New Roman"/>
          <w:b/>
          <w:sz w:val="24"/>
          <w:szCs w:val="24"/>
        </w:rPr>
        <w:t>.</w:t>
      </w:r>
    </w:p>
    <w:p w:rsidR="00A703E9" w:rsidRDefault="00A703E9" w:rsidP="00584469">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780846"/>
            <wp:effectExtent l="0" t="0" r="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0B10" w:rsidRPr="00A703E9" w:rsidRDefault="00762D6B" w:rsidP="00584469">
      <w:pPr>
        <w:spacing w:line="240" w:lineRule="auto"/>
        <w:rPr>
          <w:rFonts w:cstheme="minorHAnsi"/>
        </w:rPr>
      </w:pPr>
      <w:r>
        <w:rPr>
          <w:rFonts w:cstheme="minorHAnsi"/>
        </w:rPr>
        <w:t>R</w:t>
      </w:r>
      <w:r w:rsidR="0035791F">
        <w:rPr>
          <w:rFonts w:cstheme="minorHAnsi"/>
        </w:rPr>
        <w:t xml:space="preserve">ates for </w:t>
      </w:r>
      <w:r w:rsidR="00A703E9">
        <w:rPr>
          <w:rFonts w:cstheme="minorHAnsi"/>
        </w:rPr>
        <w:t>2</w:t>
      </w:r>
      <w:r w:rsidR="007A1367">
        <w:rPr>
          <w:rFonts w:cstheme="minorHAnsi"/>
        </w:rPr>
        <w:t xml:space="preserve">019 are based on </w:t>
      </w:r>
      <w:r w:rsidR="000D5532">
        <w:rPr>
          <w:rFonts w:cstheme="minorHAnsi"/>
        </w:rPr>
        <w:t>comparing year-to-date for</w:t>
      </w:r>
      <w:r w:rsidR="00797F98">
        <w:rPr>
          <w:rFonts w:cstheme="minorHAnsi"/>
        </w:rPr>
        <w:t xml:space="preserve"> </w:t>
      </w:r>
      <w:r w:rsidR="007A1367">
        <w:rPr>
          <w:rFonts w:cstheme="minorHAnsi"/>
        </w:rPr>
        <w:t>June in each year</w:t>
      </w:r>
      <w:r w:rsidR="009B4ED1">
        <w:rPr>
          <w:rFonts w:cstheme="minorHAnsi"/>
        </w:rPr>
        <w:t>.</w:t>
      </w:r>
    </w:p>
    <w:p w:rsidR="00DE0B10" w:rsidRPr="00A944E1" w:rsidRDefault="00DE0B10" w:rsidP="00584469">
      <w:pPr>
        <w:spacing w:line="240" w:lineRule="auto"/>
        <w:rPr>
          <w:rFonts w:cstheme="minorHAnsi"/>
        </w:rPr>
      </w:pPr>
      <w:r>
        <w:rPr>
          <w:rFonts w:cstheme="minorHAnsi"/>
        </w:rPr>
        <w:t>Source: U.S. Census Bureau.</w:t>
      </w:r>
    </w:p>
    <w:p w:rsidR="00190EAF" w:rsidRPr="006366EA" w:rsidRDefault="006366EA"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Statewide Labor Market Trends</w:t>
      </w:r>
      <w:r w:rsidR="00FA77C8">
        <w:rPr>
          <w:rFonts w:ascii="Times New Roman" w:hAnsi="Times New Roman" w:cs="Times New Roman"/>
          <w:b/>
          <w:sz w:val="24"/>
          <w:szCs w:val="24"/>
        </w:rPr>
        <w:t xml:space="preserve"> </w:t>
      </w:r>
      <w:r w:rsidR="001877B6">
        <w:rPr>
          <w:rFonts w:ascii="Times New Roman" w:hAnsi="Times New Roman" w:cs="Times New Roman"/>
          <w:b/>
          <w:sz w:val="24"/>
          <w:szCs w:val="24"/>
        </w:rPr>
        <w:t xml:space="preserve"> </w:t>
      </w:r>
    </w:p>
    <w:p w:rsidR="007A7339" w:rsidRDefault="00041CCC" w:rsidP="005844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North Carolina underperformed the nation in 2018 and thus far in 2019 on payroll job growth.  This was in contrast to 2010 to 2017 when the state’s job growth rate exceeded the nation’s growth rate in seven of the eight years (Figure 5).  The difference in 2018 was substantial, with North Carolina payroll jobs growing 1.3% compared to a 1.8% growth rate for the nation. For </w:t>
      </w:r>
      <w:r w:rsidR="00A944E1">
        <w:rPr>
          <w:rFonts w:ascii="Times New Roman" w:hAnsi="Times New Roman" w:cs="Times New Roman"/>
          <w:sz w:val="24"/>
          <w:szCs w:val="24"/>
        </w:rPr>
        <w:t>the year June 2018 to June 2019</w:t>
      </w:r>
      <w:r>
        <w:rPr>
          <w:rFonts w:ascii="Times New Roman" w:hAnsi="Times New Roman" w:cs="Times New Roman"/>
          <w:sz w:val="24"/>
          <w:szCs w:val="24"/>
        </w:rPr>
        <w:t xml:space="preserve"> the growth rates were much closer: 1.4% for North Carolina compared to 1.5% for the nation.</w:t>
      </w:r>
    </w:p>
    <w:p w:rsidR="00041CCC" w:rsidRDefault="00041CCC" w:rsidP="005844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has been little change in North Carolina’s three key unemployment rates: the headline rate which counts an individual as unemployed only if the person is actively looking for work; the U5 rate which considers a person unemployed if they have no job and want a job, even if they’re not looking for work; and the U6 rate which adds persons working part-time only because they can’t find full-time work as unemployed (Figure 6).  </w:t>
      </w:r>
    </w:p>
    <w:p w:rsidR="00041CCC" w:rsidRDefault="00041CCC" w:rsidP="00584469">
      <w:pPr>
        <w:spacing w:line="240" w:lineRule="auto"/>
        <w:rPr>
          <w:rFonts w:ascii="Times New Roman" w:hAnsi="Times New Roman" w:cs="Times New Roman"/>
          <w:sz w:val="24"/>
          <w:szCs w:val="24"/>
        </w:rPr>
      </w:pPr>
    </w:p>
    <w:p w:rsidR="00A944E1" w:rsidRPr="00DE0921" w:rsidRDefault="00A944E1" w:rsidP="00584469">
      <w:pPr>
        <w:spacing w:line="240" w:lineRule="auto"/>
        <w:rPr>
          <w:rFonts w:ascii="Times New Roman" w:hAnsi="Times New Roman" w:cs="Times New Roman"/>
          <w:sz w:val="24"/>
          <w:szCs w:val="24"/>
        </w:rPr>
      </w:pPr>
    </w:p>
    <w:p w:rsidR="00B90C41" w:rsidRPr="00F429BB" w:rsidRDefault="0034772D"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5</w:t>
      </w:r>
      <w:r w:rsidR="00B90C41">
        <w:rPr>
          <w:rFonts w:ascii="Times New Roman" w:hAnsi="Times New Roman" w:cs="Times New Roman"/>
          <w:b/>
          <w:sz w:val="24"/>
          <w:szCs w:val="24"/>
        </w:rPr>
        <w:t xml:space="preserve">.  Annual Job Growth Rates (%) in North </w:t>
      </w:r>
      <w:r w:rsidR="003A34D1">
        <w:rPr>
          <w:rFonts w:ascii="Times New Roman" w:hAnsi="Times New Roman" w:cs="Times New Roman"/>
          <w:b/>
          <w:sz w:val="24"/>
          <w:szCs w:val="24"/>
        </w:rPr>
        <w:t>Carolina and the US</w:t>
      </w:r>
      <w:r w:rsidR="000D5532">
        <w:rPr>
          <w:rFonts w:ascii="Times New Roman" w:hAnsi="Times New Roman" w:cs="Times New Roman"/>
          <w:b/>
          <w:sz w:val="24"/>
          <w:szCs w:val="24"/>
        </w:rPr>
        <w:t>, 2010-2019</w:t>
      </w:r>
      <w:r w:rsidR="00B90C41">
        <w:rPr>
          <w:rFonts w:ascii="Times New Roman" w:hAnsi="Times New Roman" w:cs="Times New Roman"/>
          <w:b/>
          <w:sz w:val="24"/>
          <w:szCs w:val="24"/>
        </w:rPr>
        <w:t>.</w:t>
      </w:r>
    </w:p>
    <w:p w:rsidR="00B90C41" w:rsidRDefault="00B90C41" w:rsidP="00584469">
      <w:pPr>
        <w:spacing w:line="240" w:lineRule="auto"/>
        <w:rPr>
          <w:rFonts w:cs="Times New Roman"/>
        </w:rPr>
      </w:pPr>
      <w:r w:rsidRPr="00B90C41">
        <w:rPr>
          <w:rFonts w:cs="Times New Roman"/>
          <w:noProof/>
        </w:rPr>
        <w:drawing>
          <wp:inline distT="0" distB="0" distL="0" distR="0" wp14:anchorId="452DF4CC" wp14:editId="31C12A7D">
            <wp:extent cx="5943600" cy="3729162"/>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5F77" w:rsidRDefault="00B90C41" w:rsidP="00584469">
      <w:pPr>
        <w:spacing w:line="240" w:lineRule="auto"/>
        <w:rPr>
          <w:rFonts w:cs="Times New Roman"/>
        </w:rPr>
      </w:pPr>
      <w:r>
        <w:rPr>
          <w:rFonts w:cs="Times New Roman"/>
        </w:rPr>
        <w:t xml:space="preserve">Source:  Nonfarm </w:t>
      </w:r>
      <w:r w:rsidR="00CF5C9B">
        <w:rPr>
          <w:rFonts w:cs="Times New Roman"/>
        </w:rPr>
        <w:t xml:space="preserve">payroll </w:t>
      </w:r>
      <w:r>
        <w:rPr>
          <w:rFonts w:cs="Times New Roman"/>
        </w:rPr>
        <w:t xml:space="preserve">employment numbers from the </w:t>
      </w:r>
      <w:r w:rsidR="006E1E07">
        <w:rPr>
          <w:rFonts w:cs="Times New Roman"/>
        </w:rPr>
        <w:t>U.S. Bureau o</w:t>
      </w:r>
      <w:r w:rsidR="00AA6D4F">
        <w:rPr>
          <w:rFonts w:cs="Times New Roman"/>
        </w:rPr>
        <w:t>f Labor Statistics based</w:t>
      </w:r>
      <w:r w:rsidR="003A34D1">
        <w:rPr>
          <w:rFonts w:cs="Times New Roman"/>
        </w:rPr>
        <w:t xml:space="preserve"> on December to December values. R</w:t>
      </w:r>
      <w:r w:rsidR="00AA6D4F">
        <w:rPr>
          <w:rFonts w:cs="Times New Roman"/>
        </w:rPr>
        <w:t xml:space="preserve">ates </w:t>
      </w:r>
      <w:r w:rsidR="00E21696">
        <w:rPr>
          <w:rFonts w:cs="Times New Roman"/>
        </w:rPr>
        <w:t>for 2019</w:t>
      </w:r>
      <w:r w:rsidR="003A34D1">
        <w:rPr>
          <w:rFonts w:cs="Times New Roman"/>
        </w:rPr>
        <w:t xml:space="preserve"> </w:t>
      </w:r>
      <w:r w:rsidR="00AA6D4F">
        <w:rPr>
          <w:rFonts w:cs="Times New Roman"/>
        </w:rPr>
        <w:t>are annuali</w:t>
      </w:r>
      <w:r w:rsidR="00267170">
        <w:rPr>
          <w:rFonts w:cs="Times New Roman"/>
        </w:rPr>
        <w:t xml:space="preserve">zed </w:t>
      </w:r>
      <w:r w:rsidR="00E21696">
        <w:rPr>
          <w:rFonts w:cs="Times New Roman"/>
        </w:rPr>
        <w:t>based on June 2018 to June 2019</w:t>
      </w:r>
      <w:r w:rsidR="00267170">
        <w:rPr>
          <w:rFonts w:cs="Times New Roman"/>
        </w:rPr>
        <w:t xml:space="preserve"> changes</w:t>
      </w:r>
      <w:r w:rsidR="00AA6D4F">
        <w:rPr>
          <w:rFonts w:cs="Times New Roman"/>
        </w:rPr>
        <w:t>.</w:t>
      </w:r>
      <w:r w:rsidR="001F6F2E">
        <w:rPr>
          <w:rFonts w:cs="Times New Roman"/>
        </w:rPr>
        <w:t xml:space="preserve"> All data are seasonally adjusted.</w:t>
      </w:r>
      <w:r w:rsidR="00455F77">
        <w:rPr>
          <w:rFonts w:cs="Times New Roman"/>
        </w:rPr>
        <w:t xml:space="preserve"> </w:t>
      </w:r>
    </w:p>
    <w:p w:rsidR="00E21696" w:rsidRDefault="00E21696" w:rsidP="00584469">
      <w:pPr>
        <w:spacing w:line="240" w:lineRule="auto"/>
        <w:rPr>
          <w:rFonts w:cs="Times New Roman"/>
        </w:rPr>
      </w:pPr>
    </w:p>
    <w:p w:rsidR="00A944E1" w:rsidRDefault="00A944E1" w:rsidP="00584469">
      <w:pPr>
        <w:spacing w:line="240" w:lineRule="auto"/>
        <w:rPr>
          <w:rFonts w:cs="Times New Roman"/>
        </w:rPr>
      </w:pPr>
    </w:p>
    <w:p w:rsidR="00F429BB" w:rsidRDefault="00F429BB" w:rsidP="00584469">
      <w:pPr>
        <w:spacing w:line="240" w:lineRule="auto"/>
        <w:rPr>
          <w:rFonts w:ascii="Times New Roman" w:hAnsi="Times New Roman" w:cs="Times New Roman"/>
          <w:b/>
          <w:sz w:val="24"/>
          <w:szCs w:val="24"/>
        </w:rPr>
      </w:pPr>
    </w:p>
    <w:p w:rsidR="00C7400F" w:rsidRPr="00455F77" w:rsidRDefault="00E21696"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6</w:t>
      </w:r>
      <w:r w:rsidR="00455F77">
        <w:rPr>
          <w:rFonts w:ascii="Times New Roman" w:hAnsi="Times New Roman" w:cs="Times New Roman"/>
          <w:b/>
          <w:sz w:val="24"/>
          <w:szCs w:val="24"/>
        </w:rPr>
        <w:t xml:space="preserve">.  Alternative Unemployment </w:t>
      </w:r>
      <w:r w:rsidR="00B661FB">
        <w:rPr>
          <w:rFonts w:ascii="Times New Roman" w:hAnsi="Times New Roman" w:cs="Times New Roman"/>
          <w:b/>
          <w:sz w:val="24"/>
          <w:szCs w:val="24"/>
        </w:rPr>
        <w:t xml:space="preserve">Rate (%) </w:t>
      </w:r>
      <w:r w:rsidR="00455F77">
        <w:rPr>
          <w:rFonts w:ascii="Times New Roman" w:hAnsi="Times New Roman" w:cs="Times New Roman"/>
          <w:b/>
          <w:sz w:val="24"/>
          <w:szCs w:val="24"/>
        </w:rPr>
        <w:t xml:space="preserve">Measures </w:t>
      </w:r>
      <w:r w:rsidR="007E423A">
        <w:rPr>
          <w:rFonts w:ascii="Times New Roman" w:hAnsi="Times New Roman" w:cs="Times New Roman"/>
          <w:b/>
          <w:sz w:val="24"/>
          <w:szCs w:val="24"/>
        </w:rPr>
        <w:t>for NC and the US, 2018 and 2019</w:t>
      </w:r>
      <w:r w:rsidR="00F429BB">
        <w:rPr>
          <w:rFonts w:ascii="Times New Roman" w:hAnsi="Times New Roman" w:cs="Times New Roman"/>
          <w:b/>
          <w:sz w:val="24"/>
          <w:szCs w:val="24"/>
        </w:rPr>
        <w:t>.</w:t>
      </w:r>
    </w:p>
    <w:p w:rsidR="00C7400F" w:rsidRDefault="007E423A" w:rsidP="00584469">
      <w:pPr>
        <w:spacing w:line="240" w:lineRule="auto"/>
        <w:rPr>
          <w:rFonts w:cs="Times New Roman"/>
        </w:rPr>
      </w:pPr>
      <w:r w:rsidRPr="007E423A">
        <w:rPr>
          <w:rFonts w:cs="Times New Roman"/>
          <w:noProof/>
          <w:color w:val="FF99FF"/>
        </w:rPr>
        <w:drawing>
          <wp:inline distT="0" distB="0" distL="0" distR="0">
            <wp:extent cx="5947410" cy="3601941"/>
            <wp:effectExtent l="0" t="0" r="1524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233D" w:rsidRDefault="00455F77" w:rsidP="00584469">
      <w:pPr>
        <w:spacing w:line="240" w:lineRule="auto"/>
        <w:rPr>
          <w:rFonts w:cs="Times New Roman"/>
        </w:rPr>
      </w:pPr>
      <w:r>
        <w:rPr>
          <w:rFonts w:cs="Times New Roman"/>
        </w:rPr>
        <w:t xml:space="preserve">Source:  </w:t>
      </w:r>
      <w:r w:rsidR="00B661FB">
        <w:rPr>
          <w:rFonts w:cs="Times New Roman"/>
        </w:rPr>
        <w:t>U.S. Bureau of Labor Statistics; annual averages.</w:t>
      </w:r>
      <w:r w:rsidR="00490A9A">
        <w:rPr>
          <w:rFonts w:cs="Times New Roman"/>
        </w:rPr>
        <w:t xml:space="preserve">  Rates for 2019</w:t>
      </w:r>
      <w:r w:rsidR="00E3233D">
        <w:rPr>
          <w:rFonts w:cs="Times New Roman"/>
        </w:rPr>
        <w:t xml:space="preserve"> </w:t>
      </w:r>
      <w:r w:rsidR="003A34D1">
        <w:rPr>
          <w:rFonts w:cs="Times New Roman"/>
        </w:rPr>
        <w:t xml:space="preserve">are </w:t>
      </w:r>
      <w:r w:rsidR="00490A9A">
        <w:rPr>
          <w:rFonts w:cs="Times New Roman"/>
        </w:rPr>
        <w:t>based on averages for the third</w:t>
      </w:r>
      <w:r w:rsidR="00E3233D">
        <w:rPr>
          <w:rFonts w:cs="Times New Roman"/>
        </w:rPr>
        <w:t xml:space="preserve"> qu</w:t>
      </w:r>
      <w:r w:rsidR="00490A9A">
        <w:rPr>
          <w:rFonts w:cs="Times New Roman"/>
        </w:rPr>
        <w:t>arter of 2018 through the second quarter of 2019</w:t>
      </w:r>
      <w:r w:rsidR="00E3233D">
        <w:rPr>
          <w:rFonts w:cs="Times New Roman"/>
        </w:rPr>
        <w:t>.</w:t>
      </w:r>
    </w:p>
    <w:p w:rsidR="00490A9A" w:rsidRDefault="00490A9A" w:rsidP="00584469">
      <w:pPr>
        <w:spacing w:line="240" w:lineRule="auto"/>
        <w:rPr>
          <w:rFonts w:cs="Times New Roman"/>
        </w:rPr>
      </w:pPr>
    </w:p>
    <w:p w:rsidR="00505DD9" w:rsidRPr="00433196" w:rsidRDefault="00505DD9" w:rsidP="00584469">
      <w:pPr>
        <w:spacing w:line="240" w:lineRule="auto"/>
        <w:rPr>
          <w:rFonts w:cs="Times New Roman"/>
        </w:rPr>
      </w:pPr>
    </w:p>
    <w:p w:rsidR="00041CCC" w:rsidRDefault="00041CCC" w:rsidP="007D3A54">
      <w:pPr>
        <w:spacing w:line="240" w:lineRule="auto"/>
        <w:rPr>
          <w:rFonts w:ascii="Times New Roman" w:hAnsi="Times New Roman" w:cs="Times New Roman"/>
          <w:sz w:val="24"/>
          <w:szCs w:val="24"/>
        </w:rPr>
      </w:pPr>
      <w:r>
        <w:rPr>
          <w:rFonts w:ascii="Times New Roman" w:hAnsi="Times New Roman" w:cs="Times New Roman"/>
          <w:sz w:val="24"/>
          <w:szCs w:val="24"/>
        </w:rPr>
        <w:tab/>
      </w:r>
      <w:r w:rsidR="009C445B">
        <w:rPr>
          <w:rFonts w:ascii="Times New Roman" w:hAnsi="Times New Roman" w:cs="Times New Roman"/>
          <w:sz w:val="24"/>
          <w:szCs w:val="24"/>
        </w:rPr>
        <w:t xml:space="preserve">North Carolina has been able to sustain job growth with little change in the jobless rate for two reasons.  First, the proportion of individuals </w:t>
      </w:r>
      <w:r w:rsidR="00A944E1">
        <w:rPr>
          <w:rFonts w:ascii="Times New Roman" w:hAnsi="Times New Roman" w:cs="Times New Roman"/>
          <w:sz w:val="24"/>
          <w:szCs w:val="24"/>
        </w:rPr>
        <w:t xml:space="preserve">in the working population (ages </w:t>
      </w:r>
      <w:r w:rsidR="009C445B">
        <w:rPr>
          <w:rFonts w:ascii="Times New Roman" w:hAnsi="Times New Roman" w:cs="Times New Roman"/>
          <w:sz w:val="24"/>
          <w:szCs w:val="24"/>
        </w:rPr>
        <w:t>16 to 64) continues to increase, from a recent low of 60.9% in late 2018 to 61.6% in mid-2019.  Second, North Carolina remains one of the top states in “net in-migration,” a measure calibrating the number of people moving to the state from other states compared to the number moving out of the state to other states.</w:t>
      </w:r>
      <w:r w:rsidR="003E64C0">
        <w:rPr>
          <w:rFonts w:ascii="Times New Roman" w:hAnsi="Times New Roman" w:cs="Times New Roman"/>
          <w:sz w:val="24"/>
          <w:szCs w:val="24"/>
        </w:rPr>
        <w:t xml:space="preserve">  Both factors add to the available labor force in the state.</w:t>
      </w:r>
    </w:p>
    <w:p w:rsidR="007D3A54" w:rsidRPr="007D3A54" w:rsidRDefault="00BA708E" w:rsidP="007D3A54">
      <w:pPr>
        <w:spacing w:line="240" w:lineRule="auto"/>
        <w:rPr>
          <w:rFonts w:ascii="Times New Roman" w:hAnsi="Times New Roman" w:cs="Times New Roman"/>
          <w:sz w:val="24"/>
          <w:szCs w:val="24"/>
        </w:rPr>
      </w:pPr>
      <w:r>
        <w:rPr>
          <w:rFonts w:ascii="Times New Roman" w:hAnsi="Times New Roman" w:cs="Times New Roman"/>
          <w:sz w:val="24"/>
          <w:szCs w:val="24"/>
        </w:rPr>
        <w:tab/>
      </w:r>
      <w:r w:rsidR="0090336B">
        <w:rPr>
          <w:rFonts w:ascii="Times New Roman" w:hAnsi="Times New Roman" w:cs="Times New Roman"/>
          <w:sz w:val="24"/>
          <w:szCs w:val="24"/>
        </w:rPr>
        <w:t>The a</w:t>
      </w:r>
      <w:r w:rsidR="00CF5FC3">
        <w:rPr>
          <w:rFonts w:ascii="Times New Roman" w:hAnsi="Times New Roman" w:cs="Times New Roman"/>
          <w:sz w:val="24"/>
          <w:szCs w:val="24"/>
        </w:rPr>
        <w:t>verage wage rate adjusted for inflation (real wage rate)</w:t>
      </w:r>
      <w:r w:rsidR="009C445B">
        <w:rPr>
          <w:rFonts w:ascii="Times New Roman" w:hAnsi="Times New Roman" w:cs="Times New Roman"/>
          <w:sz w:val="24"/>
          <w:szCs w:val="24"/>
        </w:rPr>
        <w:t xml:space="preserve"> continued to trend upward in both the nation and North Carolina in 2019 (Figure 7</w:t>
      </w:r>
      <w:r w:rsidR="0090336B">
        <w:rPr>
          <w:rFonts w:ascii="Times New Roman" w:hAnsi="Times New Roman" w:cs="Times New Roman"/>
          <w:sz w:val="24"/>
          <w:szCs w:val="24"/>
        </w:rPr>
        <w:t>).  Still, the state’s a</w:t>
      </w:r>
      <w:r w:rsidR="009C445B">
        <w:rPr>
          <w:rFonts w:ascii="Times New Roman" w:hAnsi="Times New Roman" w:cs="Times New Roman"/>
          <w:sz w:val="24"/>
          <w:szCs w:val="24"/>
        </w:rPr>
        <w:t>verage real wage rate is about 10</w:t>
      </w:r>
      <w:r w:rsidR="0090336B">
        <w:rPr>
          <w:rFonts w:ascii="Times New Roman" w:hAnsi="Times New Roman" w:cs="Times New Roman"/>
          <w:sz w:val="24"/>
          <w:szCs w:val="24"/>
        </w:rPr>
        <w:t>% under the national rate. Half the difference is due to a lower cost-of-li</w:t>
      </w:r>
      <w:r w:rsidR="003E64C0">
        <w:rPr>
          <w:rFonts w:ascii="Times New Roman" w:hAnsi="Times New Roman" w:cs="Times New Roman"/>
          <w:sz w:val="24"/>
          <w:szCs w:val="24"/>
        </w:rPr>
        <w:t>ving in North Carolina, and most of the rest</w:t>
      </w:r>
      <w:r w:rsidR="0090336B">
        <w:rPr>
          <w:rFonts w:ascii="Times New Roman" w:hAnsi="Times New Roman" w:cs="Times New Roman"/>
          <w:sz w:val="24"/>
          <w:szCs w:val="24"/>
        </w:rPr>
        <w:t xml:space="preserve"> is a result of slightly lower </w:t>
      </w:r>
      <w:r w:rsidR="007A7339">
        <w:rPr>
          <w:rFonts w:ascii="Times New Roman" w:hAnsi="Times New Roman" w:cs="Times New Roman"/>
          <w:sz w:val="24"/>
          <w:szCs w:val="24"/>
        </w:rPr>
        <w:t xml:space="preserve">average </w:t>
      </w:r>
      <w:r w:rsidR="0090336B">
        <w:rPr>
          <w:rFonts w:ascii="Times New Roman" w:hAnsi="Times New Roman" w:cs="Times New Roman"/>
          <w:sz w:val="24"/>
          <w:szCs w:val="24"/>
        </w:rPr>
        <w:t>educational attainment in the state.</w:t>
      </w:r>
    </w:p>
    <w:p w:rsidR="004E2D91" w:rsidRDefault="004E2D91" w:rsidP="00584469">
      <w:pPr>
        <w:spacing w:line="240" w:lineRule="auto"/>
        <w:rPr>
          <w:rFonts w:ascii="Times New Roman" w:hAnsi="Times New Roman" w:cs="Times New Roman"/>
          <w:sz w:val="24"/>
          <w:szCs w:val="24"/>
        </w:rPr>
      </w:pPr>
      <w:r>
        <w:rPr>
          <w:rFonts w:ascii="Times New Roman" w:hAnsi="Times New Roman" w:cs="Times New Roman"/>
          <w:sz w:val="24"/>
          <w:szCs w:val="24"/>
        </w:rPr>
        <w:tab/>
      </w:r>
      <w:r w:rsidR="0090336B">
        <w:rPr>
          <w:rFonts w:ascii="Times New Roman" w:hAnsi="Times New Roman" w:cs="Times New Roman"/>
          <w:sz w:val="24"/>
          <w:szCs w:val="24"/>
        </w:rPr>
        <w:t xml:space="preserve">There continued to be good news on </w:t>
      </w:r>
      <w:r w:rsidR="000B6A72">
        <w:rPr>
          <w:rFonts w:ascii="Times New Roman" w:hAnsi="Times New Roman" w:cs="Times New Roman"/>
          <w:sz w:val="24"/>
          <w:szCs w:val="24"/>
        </w:rPr>
        <w:t>the occupation</w:t>
      </w:r>
      <w:r w:rsidR="0009186D">
        <w:rPr>
          <w:rFonts w:ascii="Times New Roman" w:hAnsi="Times New Roman" w:cs="Times New Roman"/>
          <w:sz w:val="24"/>
          <w:szCs w:val="24"/>
        </w:rPr>
        <w:t>al</w:t>
      </w:r>
      <w:r w:rsidR="000B6A72">
        <w:rPr>
          <w:rFonts w:ascii="Times New Roman" w:hAnsi="Times New Roman" w:cs="Times New Roman"/>
          <w:sz w:val="24"/>
          <w:szCs w:val="24"/>
        </w:rPr>
        <w:t xml:space="preserve"> di</w:t>
      </w:r>
      <w:r w:rsidR="00887718">
        <w:rPr>
          <w:rFonts w:ascii="Times New Roman" w:hAnsi="Times New Roman" w:cs="Times New Roman"/>
          <w:sz w:val="24"/>
          <w:szCs w:val="24"/>
        </w:rPr>
        <w:t>vide in North Carolina (Figure 8</w:t>
      </w:r>
      <w:r w:rsidR="00505DD9">
        <w:rPr>
          <w:rFonts w:ascii="Times New Roman" w:hAnsi="Times New Roman" w:cs="Times New Roman"/>
          <w:sz w:val="24"/>
          <w:szCs w:val="24"/>
        </w:rPr>
        <w:t>). From the years 2009 to 2016 job growth was predominantly in the high-paying and low-paying job sectors, with little growth in middle-paying jobs.  In 2017 and 2018 job growth improved in the middle-paying sector.  Thus far in 2019, growth in the three sector</w:t>
      </w:r>
      <w:r w:rsidR="003E64C0">
        <w:rPr>
          <w:rFonts w:ascii="Times New Roman" w:hAnsi="Times New Roman" w:cs="Times New Roman"/>
          <w:sz w:val="24"/>
          <w:szCs w:val="24"/>
        </w:rPr>
        <w:t>s has become much more equal</w:t>
      </w:r>
      <w:r w:rsidR="00505DD9">
        <w:rPr>
          <w:rFonts w:ascii="Times New Roman" w:hAnsi="Times New Roman" w:cs="Times New Roman"/>
          <w:sz w:val="24"/>
          <w:szCs w:val="24"/>
        </w:rPr>
        <w:t xml:space="preserve">. </w:t>
      </w:r>
    </w:p>
    <w:p w:rsidR="000B6A72" w:rsidRDefault="000B6A72" w:rsidP="00584469">
      <w:pPr>
        <w:spacing w:line="240" w:lineRule="auto"/>
        <w:rPr>
          <w:rFonts w:ascii="Times New Roman" w:hAnsi="Times New Roman" w:cs="Times New Roman"/>
          <w:sz w:val="24"/>
          <w:szCs w:val="24"/>
        </w:rPr>
      </w:pPr>
    </w:p>
    <w:p w:rsidR="00A66D7D" w:rsidRPr="00A66D7D" w:rsidRDefault="00A66D7D"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8A69DA">
        <w:rPr>
          <w:rFonts w:ascii="Times New Roman" w:hAnsi="Times New Roman" w:cs="Times New Roman"/>
          <w:b/>
          <w:sz w:val="24"/>
          <w:szCs w:val="24"/>
        </w:rPr>
        <w:t>7</w:t>
      </w:r>
      <w:r w:rsidR="0047193B">
        <w:rPr>
          <w:rFonts w:ascii="Times New Roman" w:hAnsi="Times New Roman" w:cs="Times New Roman"/>
          <w:b/>
          <w:sz w:val="24"/>
          <w:szCs w:val="24"/>
        </w:rPr>
        <w:t>.  Annual R</w:t>
      </w:r>
      <w:r w:rsidR="007E423A">
        <w:rPr>
          <w:rFonts w:ascii="Times New Roman" w:hAnsi="Times New Roman" w:cs="Times New Roman"/>
          <w:b/>
          <w:sz w:val="24"/>
          <w:szCs w:val="24"/>
        </w:rPr>
        <w:t>eal Wage Rates, NC, and US (2019</w:t>
      </w:r>
      <w:r w:rsidR="0047193B">
        <w:rPr>
          <w:rFonts w:ascii="Times New Roman" w:hAnsi="Times New Roman" w:cs="Times New Roman"/>
          <w:b/>
          <w:sz w:val="24"/>
          <w:szCs w:val="24"/>
        </w:rPr>
        <w:t>$)</w:t>
      </w:r>
      <w:r>
        <w:rPr>
          <w:rFonts w:ascii="Times New Roman" w:hAnsi="Times New Roman" w:cs="Times New Roman"/>
          <w:b/>
          <w:sz w:val="24"/>
          <w:szCs w:val="24"/>
        </w:rPr>
        <w:t>.</w:t>
      </w:r>
    </w:p>
    <w:p w:rsidR="00A66D7D" w:rsidRDefault="00A66D7D" w:rsidP="00584469">
      <w:pPr>
        <w:spacing w:line="240" w:lineRule="auto"/>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943600" cy="3276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7339" w:rsidRDefault="00A66D7D" w:rsidP="00584469">
      <w:pPr>
        <w:spacing w:line="240" w:lineRule="auto"/>
        <w:rPr>
          <w:rFonts w:cs="Times New Roman"/>
        </w:rPr>
      </w:pPr>
      <w:r>
        <w:rPr>
          <w:rFonts w:cs="Times New Roman"/>
        </w:rPr>
        <w:t>Source:  U.S.</w:t>
      </w:r>
      <w:r w:rsidR="00206E11">
        <w:rPr>
          <w:rFonts w:cs="Times New Roman"/>
        </w:rPr>
        <w:t xml:space="preserve"> Bur</w:t>
      </w:r>
      <w:r w:rsidR="00B452D7">
        <w:rPr>
          <w:rFonts w:cs="Times New Roman"/>
        </w:rPr>
        <w:t>eau of Labor Statistics; June</w:t>
      </w:r>
      <w:r>
        <w:rPr>
          <w:rFonts w:cs="Times New Roman"/>
        </w:rPr>
        <w:t xml:space="preserve"> of e</w:t>
      </w:r>
      <w:r w:rsidR="00C66B9F">
        <w:rPr>
          <w:rFonts w:cs="Times New Roman"/>
        </w:rPr>
        <w:t>ach year using the CPI deflator; private sector wages.</w:t>
      </w:r>
      <w:r w:rsidR="00330AD0">
        <w:rPr>
          <w:rFonts w:ascii="Times New Roman" w:hAnsi="Times New Roman" w:cs="Times New Roman"/>
          <w:sz w:val="24"/>
          <w:szCs w:val="24"/>
        </w:rPr>
        <w:tab/>
      </w:r>
    </w:p>
    <w:p w:rsidR="000341A3" w:rsidRPr="000341A3" w:rsidRDefault="000341A3" w:rsidP="00584469">
      <w:pPr>
        <w:spacing w:line="240" w:lineRule="auto"/>
        <w:rPr>
          <w:rFonts w:cs="Times New Roman"/>
        </w:rPr>
      </w:pPr>
    </w:p>
    <w:p w:rsidR="001870EB" w:rsidRPr="003222C1" w:rsidRDefault="008A69DA"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8</w:t>
      </w:r>
      <w:r w:rsidR="00243C13">
        <w:rPr>
          <w:rFonts w:ascii="Times New Roman" w:hAnsi="Times New Roman" w:cs="Times New Roman"/>
          <w:b/>
          <w:sz w:val="24"/>
          <w:szCs w:val="24"/>
        </w:rPr>
        <w:t>.  Changes in North Carolina Jobs by Level of Pay</w:t>
      </w:r>
      <w:r w:rsidR="003222C1">
        <w:rPr>
          <w:rFonts w:ascii="Times New Roman" w:hAnsi="Times New Roman" w:cs="Times New Roman"/>
          <w:b/>
          <w:sz w:val="24"/>
          <w:szCs w:val="24"/>
        </w:rPr>
        <w:t xml:space="preserve">, </w:t>
      </w:r>
      <w:r w:rsidR="00887718">
        <w:rPr>
          <w:rFonts w:ascii="Times New Roman" w:hAnsi="Times New Roman" w:cs="Times New Roman"/>
          <w:b/>
          <w:sz w:val="24"/>
          <w:szCs w:val="24"/>
        </w:rPr>
        <w:t>2009-2019</w:t>
      </w:r>
      <w:r w:rsidR="0047193B">
        <w:rPr>
          <w:rFonts w:ascii="Times New Roman" w:hAnsi="Times New Roman" w:cs="Times New Roman"/>
          <w:b/>
          <w:sz w:val="24"/>
          <w:szCs w:val="24"/>
        </w:rPr>
        <w:t>,</w:t>
      </w:r>
      <w:r w:rsidR="00887718">
        <w:rPr>
          <w:rFonts w:ascii="Times New Roman" w:hAnsi="Times New Roman" w:cs="Times New Roman"/>
          <w:b/>
          <w:sz w:val="24"/>
          <w:szCs w:val="24"/>
        </w:rPr>
        <w:t xml:space="preserve"> </w:t>
      </w:r>
      <w:r w:rsidR="00886136">
        <w:rPr>
          <w:rFonts w:ascii="Times New Roman" w:hAnsi="Times New Roman" w:cs="Times New Roman"/>
          <w:b/>
          <w:sz w:val="24"/>
          <w:szCs w:val="24"/>
        </w:rPr>
        <w:t>(</w:t>
      </w:r>
      <w:r w:rsidR="00DE11C9">
        <w:rPr>
          <w:rFonts w:ascii="Times New Roman" w:hAnsi="Times New Roman" w:cs="Times New Roman"/>
          <w:b/>
          <w:sz w:val="24"/>
          <w:szCs w:val="24"/>
        </w:rPr>
        <w:t xml:space="preserve">Annualized </w:t>
      </w:r>
      <w:r w:rsidR="00243C13">
        <w:rPr>
          <w:rFonts w:ascii="Times New Roman" w:hAnsi="Times New Roman" w:cs="Times New Roman"/>
          <w:b/>
          <w:sz w:val="24"/>
          <w:szCs w:val="24"/>
        </w:rPr>
        <w:t>Percentage Change)</w:t>
      </w:r>
      <w:r w:rsidR="00DE11C9">
        <w:rPr>
          <w:rFonts w:ascii="Times New Roman" w:hAnsi="Times New Roman" w:cs="Times New Roman"/>
          <w:b/>
          <w:sz w:val="24"/>
          <w:szCs w:val="24"/>
        </w:rPr>
        <w:t>.</w:t>
      </w:r>
    </w:p>
    <w:p w:rsidR="003222C1" w:rsidRDefault="003222C1" w:rsidP="00584469">
      <w:pPr>
        <w:spacing w:line="240" w:lineRule="auto"/>
        <w:rPr>
          <w:rFonts w:ascii="Times New Roman" w:hAnsi="Times New Roman" w:cs="Times New Roman"/>
          <w:sz w:val="24"/>
          <w:szCs w:val="24"/>
        </w:rPr>
      </w:pPr>
      <w:r w:rsidRPr="003222C1">
        <w:rPr>
          <w:rFonts w:ascii="Times New Roman" w:hAnsi="Times New Roman" w:cs="Times New Roman"/>
          <w:noProof/>
          <w:sz w:val="24"/>
          <w:szCs w:val="24"/>
        </w:rPr>
        <w:drawing>
          <wp:inline distT="0" distB="0" distL="0" distR="0" wp14:anchorId="7D486FD1" wp14:editId="34F79CEE">
            <wp:extent cx="5943600" cy="3124863"/>
            <wp:effectExtent l="0" t="0" r="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22C1" w:rsidRDefault="003222C1" w:rsidP="00584469">
      <w:pPr>
        <w:spacing w:line="240" w:lineRule="auto"/>
        <w:rPr>
          <w:rFonts w:cs="Times New Roman"/>
        </w:rPr>
      </w:pPr>
      <w:r>
        <w:rPr>
          <w:rFonts w:cs="Times New Roman"/>
        </w:rPr>
        <w:t>Source: U.S. Bureau of Labor Statistics.</w:t>
      </w:r>
      <w:r w:rsidR="006E32FD">
        <w:rPr>
          <w:rFonts w:cs="Times New Roman"/>
        </w:rPr>
        <w:t xml:space="preserve">  </w:t>
      </w:r>
      <w:r w:rsidR="0009186D">
        <w:rPr>
          <w:rFonts w:cs="Times New Roman"/>
        </w:rPr>
        <w:t>Values</w:t>
      </w:r>
      <w:r w:rsidR="00887718">
        <w:rPr>
          <w:rFonts w:cs="Times New Roman"/>
        </w:rPr>
        <w:t xml:space="preserve"> for 2019</w:t>
      </w:r>
      <w:r w:rsidR="00243C13">
        <w:rPr>
          <w:rFonts w:cs="Times New Roman"/>
        </w:rPr>
        <w:t xml:space="preserve"> are </w:t>
      </w:r>
      <w:r w:rsidR="006E32FD">
        <w:rPr>
          <w:rFonts w:cs="Times New Roman"/>
        </w:rPr>
        <w:t>annualized based on</w:t>
      </w:r>
      <w:r w:rsidR="00887718">
        <w:rPr>
          <w:rFonts w:cs="Times New Roman"/>
        </w:rPr>
        <w:t xml:space="preserve"> data for January to June</w:t>
      </w:r>
      <w:r w:rsidR="006E32FD">
        <w:rPr>
          <w:rFonts w:cs="Times New Roman"/>
        </w:rPr>
        <w:t>.</w:t>
      </w:r>
    </w:p>
    <w:p w:rsidR="00F33229" w:rsidRDefault="00F33229" w:rsidP="00E72D55">
      <w:pPr>
        <w:spacing w:line="240" w:lineRule="auto"/>
        <w:rPr>
          <w:rFonts w:ascii="ETimes New Roman" w:hAnsi="ETimes New Roman" w:cs="Times New Roman"/>
          <w:sz w:val="24"/>
          <w:szCs w:val="24"/>
        </w:rPr>
      </w:pPr>
    </w:p>
    <w:p w:rsidR="00DE404F" w:rsidRDefault="00DE404F" w:rsidP="00E72D55">
      <w:pPr>
        <w:spacing w:line="240" w:lineRule="auto"/>
        <w:rPr>
          <w:rFonts w:ascii="ETimes New Roman" w:hAnsi="ETimes New Roman" w:cs="Times New Roman"/>
          <w:b/>
          <w:sz w:val="24"/>
          <w:szCs w:val="24"/>
        </w:rPr>
      </w:pPr>
      <w:r>
        <w:rPr>
          <w:rFonts w:ascii="ETimes New Roman" w:hAnsi="ETimes New Roman" w:cs="Times New Roman"/>
          <w:b/>
          <w:sz w:val="24"/>
          <w:szCs w:val="24"/>
        </w:rPr>
        <w:lastRenderedPageBreak/>
        <w:t>Regional Trends</w:t>
      </w:r>
    </w:p>
    <w:p w:rsidR="000341A3" w:rsidRDefault="00CF5489" w:rsidP="00584469">
      <w:pPr>
        <w:spacing w:line="240" w:lineRule="auto"/>
        <w:rPr>
          <w:rFonts w:ascii="Times New Roman" w:hAnsi="Times New Roman" w:cs="Times New Roman"/>
          <w:sz w:val="24"/>
          <w:szCs w:val="24"/>
        </w:rPr>
      </w:pPr>
      <w:r>
        <w:rPr>
          <w:rFonts w:ascii="Times New Roman" w:hAnsi="Times New Roman" w:cs="Times New Roman"/>
          <w:sz w:val="24"/>
          <w:szCs w:val="24"/>
        </w:rPr>
        <w:tab/>
        <w:t>Unfortunately, GDP values for local regions are released by the federal government with a considerable lag, with 2017 being the latest available data.  Still, looking at growth rates in real GDP for the current decade is helpful in identifying long-run trends.</w:t>
      </w:r>
    </w:p>
    <w:p w:rsidR="00CF5489" w:rsidRDefault="00CF5489" w:rsidP="00584469">
      <w:pPr>
        <w:spacing w:line="240" w:lineRule="auto"/>
        <w:rPr>
          <w:rFonts w:ascii="Times New Roman" w:hAnsi="Times New Roman" w:cs="Times New Roman"/>
          <w:sz w:val="24"/>
          <w:szCs w:val="24"/>
        </w:rPr>
      </w:pPr>
      <w:r>
        <w:rPr>
          <w:rFonts w:ascii="Times New Roman" w:hAnsi="Times New Roman" w:cs="Times New Roman"/>
          <w:sz w:val="24"/>
          <w:szCs w:val="24"/>
        </w:rPr>
        <w:tab/>
        <w:t>Figure 9 shows the fastest expanding areas in North Carolina this decade have been Raleigh, Charlotte, Asheville, and Wilmington, with each having an annual average real GDP growth rate above bo</w:t>
      </w:r>
      <w:r w:rsidR="003E64C0">
        <w:rPr>
          <w:rFonts w:ascii="Times New Roman" w:hAnsi="Times New Roman" w:cs="Times New Roman"/>
          <w:sz w:val="24"/>
          <w:szCs w:val="24"/>
        </w:rPr>
        <w:t>th the nation and the state</w:t>
      </w:r>
      <w:r>
        <w:rPr>
          <w:rFonts w:ascii="Times New Roman" w:hAnsi="Times New Roman" w:cs="Times New Roman"/>
          <w:sz w:val="24"/>
          <w:szCs w:val="24"/>
        </w:rPr>
        <w:t>.  Hickory, Burlington, Greenville, Greensboro, and Winston-Salem also had smaller, but positive, growth rates.</w:t>
      </w:r>
    </w:p>
    <w:p w:rsidR="00CF5489" w:rsidRDefault="00CF5489" w:rsidP="005844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Seven regions – Goldsboro, New Bern, Jacksonville, Durham-Chapel Hill, Fayetteville, </w:t>
      </w:r>
      <w:r w:rsidR="003E64C0">
        <w:rPr>
          <w:rFonts w:ascii="Times New Roman" w:hAnsi="Times New Roman" w:cs="Times New Roman"/>
          <w:sz w:val="24"/>
          <w:szCs w:val="24"/>
        </w:rPr>
        <w:t>Rocky Mount, and Non-Metro</w:t>
      </w:r>
      <w:r>
        <w:rPr>
          <w:rFonts w:ascii="Times New Roman" w:hAnsi="Times New Roman" w:cs="Times New Roman"/>
          <w:sz w:val="24"/>
          <w:szCs w:val="24"/>
        </w:rPr>
        <w:t xml:space="preserve"> areas (which also can be considered “rural”) had negative average annual growth rates.  The decline in Durham-Chap</w:t>
      </w:r>
      <w:r w:rsidR="003E64C0">
        <w:rPr>
          <w:rFonts w:ascii="Times New Roman" w:hAnsi="Times New Roman" w:cs="Times New Roman"/>
          <w:sz w:val="24"/>
          <w:szCs w:val="24"/>
        </w:rPr>
        <w:t xml:space="preserve">el Hill’s real GDP was </w:t>
      </w:r>
      <w:r>
        <w:rPr>
          <w:rFonts w:ascii="Times New Roman" w:hAnsi="Times New Roman" w:cs="Times New Roman"/>
          <w:sz w:val="24"/>
          <w:szCs w:val="24"/>
        </w:rPr>
        <w:t xml:space="preserve">due to a large (6%) drop in the area’s manufacturing production.  </w:t>
      </w:r>
    </w:p>
    <w:p w:rsidR="00CF5489" w:rsidRDefault="00CF5489" w:rsidP="005844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5489" w:rsidRDefault="00CF5489" w:rsidP="00584469">
      <w:pPr>
        <w:spacing w:line="240" w:lineRule="auto"/>
        <w:rPr>
          <w:rFonts w:ascii="Times New Roman" w:hAnsi="Times New Roman" w:cs="Times New Roman"/>
          <w:sz w:val="24"/>
          <w:szCs w:val="24"/>
        </w:rPr>
      </w:pPr>
    </w:p>
    <w:p w:rsidR="000341A3" w:rsidRDefault="000341A3"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9.  Average Annual Growth Rate in Real GDP for NC Regions, 2010-2017</w:t>
      </w:r>
      <w:r w:rsidR="0009186D">
        <w:rPr>
          <w:rFonts w:ascii="Times New Roman" w:hAnsi="Times New Roman" w:cs="Times New Roman"/>
          <w:b/>
          <w:sz w:val="24"/>
          <w:szCs w:val="24"/>
        </w:rPr>
        <w:t>.</w:t>
      </w:r>
    </w:p>
    <w:p w:rsidR="000341A3" w:rsidRPr="000341A3" w:rsidRDefault="000341A3" w:rsidP="00584469">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4381168"/>
            <wp:effectExtent l="0" t="0" r="0"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5489" w:rsidRPr="00797F98" w:rsidRDefault="00CF5489" w:rsidP="00CF5489">
      <w:pPr>
        <w:spacing w:line="240" w:lineRule="auto"/>
        <w:rPr>
          <w:rFonts w:cstheme="minorHAnsi"/>
        </w:rPr>
      </w:pPr>
      <w:r>
        <w:rPr>
          <w:rFonts w:cstheme="minorHAnsi"/>
        </w:rPr>
        <w:t xml:space="preserve">Source:  </w:t>
      </w:r>
      <w:r>
        <w:rPr>
          <w:rFonts w:cs="Times New Roman"/>
        </w:rPr>
        <w:t>U.S. Bureau of Economic Analysis.</w:t>
      </w:r>
    </w:p>
    <w:p w:rsidR="000341A3" w:rsidRDefault="000341A3" w:rsidP="00584469">
      <w:pPr>
        <w:spacing w:line="240" w:lineRule="auto"/>
        <w:rPr>
          <w:rFonts w:ascii="Times New Roman" w:hAnsi="Times New Roman" w:cs="Times New Roman"/>
          <w:sz w:val="24"/>
          <w:szCs w:val="24"/>
        </w:rPr>
      </w:pPr>
    </w:p>
    <w:p w:rsidR="003C2B01" w:rsidRDefault="00D20A50"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10</w:t>
      </w:r>
      <w:r w:rsidR="003C2B01">
        <w:rPr>
          <w:rFonts w:ascii="Times New Roman" w:hAnsi="Times New Roman" w:cs="Times New Roman"/>
          <w:b/>
          <w:sz w:val="24"/>
          <w:szCs w:val="24"/>
        </w:rPr>
        <w:t>.  Job Growth Rates (% Change) in N</w:t>
      </w:r>
      <w:r w:rsidR="0030225E">
        <w:rPr>
          <w:rFonts w:ascii="Times New Roman" w:hAnsi="Times New Roman" w:cs="Times New Roman"/>
          <w:b/>
          <w:sz w:val="24"/>
          <w:szCs w:val="24"/>
        </w:rPr>
        <w:t>orth Carolina Regions, June 2018- June, 2019</w:t>
      </w:r>
      <w:r w:rsidR="003C2B01">
        <w:rPr>
          <w:rFonts w:ascii="Times New Roman" w:hAnsi="Times New Roman" w:cs="Times New Roman"/>
          <w:b/>
          <w:sz w:val="24"/>
          <w:szCs w:val="24"/>
        </w:rPr>
        <w:t>.</w:t>
      </w:r>
    </w:p>
    <w:p w:rsidR="003C2B01" w:rsidRDefault="003C2B01" w:rsidP="00584469">
      <w:pPr>
        <w:spacing w:line="240" w:lineRule="auto"/>
        <w:rPr>
          <w:rFonts w:ascii="Times New Roman" w:hAnsi="Times New Roman" w:cs="Times New Roman"/>
          <w:b/>
          <w:sz w:val="24"/>
          <w:szCs w:val="24"/>
        </w:rPr>
      </w:pPr>
      <w:r w:rsidRPr="003C2B01">
        <w:rPr>
          <w:rFonts w:ascii="Times New Roman" w:hAnsi="Times New Roman" w:cs="Times New Roman"/>
          <w:b/>
          <w:noProof/>
          <w:sz w:val="24"/>
          <w:szCs w:val="24"/>
        </w:rPr>
        <w:drawing>
          <wp:inline distT="0" distB="0" distL="0" distR="0" wp14:anchorId="0689AEF0" wp14:editId="42A8D863">
            <wp:extent cx="6102350" cy="5144494"/>
            <wp:effectExtent l="0" t="0" r="1270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0024" w:rsidRDefault="00093353" w:rsidP="00E72D55">
      <w:pPr>
        <w:spacing w:line="240" w:lineRule="auto"/>
        <w:rPr>
          <w:rFonts w:cs="Times New Roman"/>
        </w:rPr>
      </w:pPr>
      <w:r w:rsidRPr="002C585C">
        <w:rPr>
          <w:rFonts w:cs="Times New Roman"/>
        </w:rPr>
        <w:t>Source:  U.S. Bureau of Labor S</w:t>
      </w:r>
      <w:r w:rsidR="00364E3D">
        <w:rPr>
          <w:rFonts w:cs="Times New Roman"/>
        </w:rPr>
        <w:t>tatistics, based on seasonal</w:t>
      </w:r>
      <w:r w:rsidR="00E72234">
        <w:rPr>
          <w:rFonts w:cs="Times New Roman"/>
        </w:rPr>
        <w:t>ly-adj</w:t>
      </w:r>
      <w:r w:rsidR="0030225E">
        <w:rPr>
          <w:rFonts w:cs="Times New Roman"/>
        </w:rPr>
        <w:t>usted payroll</w:t>
      </w:r>
      <w:r w:rsidR="00E72234">
        <w:rPr>
          <w:rFonts w:cs="Times New Roman"/>
        </w:rPr>
        <w:t xml:space="preserve"> employment</w:t>
      </w:r>
      <w:r w:rsidR="003E64C0">
        <w:rPr>
          <w:rFonts w:cs="Times New Roman"/>
        </w:rPr>
        <w:t>. Non-M</w:t>
      </w:r>
      <w:r w:rsidR="00D20A50">
        <w:rPr>
          <w:rFonts w:cs="Times New Roman"/>
        </w:rPr>
        <w:t>etro</w:t>
      </w:r>
      <w:r w:rsidR="00E72234">
        <w:rPr>
          <w:rFonts w:cs="Times New Roman"/>
        </w:rPr>
        <w:t xml:space="preserve"> </w:t>
      </w:r>
      <w:r w:rsidR="002C585C">
        <w:rPr>
          <w:rFonts w:cs="Times New Roman"/>
        </w:rPr>
        <w:t>include</w:t>
      </w:r>
      <w:r w:rsidR="00B30BD1">
        <w:rPr>
          <w:rFonts w:cs="Times New Roman"/>
        </w:rPr>
        <w:t>s</w:t>
      </w:r>
      <w:r w:rsidR="003E64C0">
        <w:rPr>
          <w:rFonts w:cs="Times New Roman"/>
        </w:rPr>
        <w:t xml:space="preserve"> counties outside the m</w:t>
      </w:r>
      <w:r w:rsidR="00B30BD1">
        <w:rPr>
          <w:rFonts w:cs="Times New Roman"/>
        </w:rPr>
        <w:t xml:space="preserve">etropolitan </w:t>
      </w:r>
      <w:r w:rsidR="002C585C">
        <w:rPr>
          <w:rFonts w:cs="Times New Roman"/>
        </w:rPr>
        <w:t xml:space="preserve">areas.   </w:t>
      </w:r>
    </w:p>
    <w:p w:rsidR="004073F8" w:rsidRDefault="004073F8" w:rsidP="00E72D55">
      <w:pPr>
        <w:spacing w:line="240" w:lineRule="auto"/>
        <w:rPr>
          <w:rFonts w:cs="Times New Roman"/>
        </w:rPr>
      </w:pPr>
    </w:p>
    <w:p w:rsidR="00134059" w:rsidRDefault="00134059" w:rsidP="00E72D55">
      <w:pPr>
        <w:spacing w:line="240" w:lineRule="auto"/>
        <w:rPr>
          <w:rFonts w:cs="Times New Roman"/>
        </w:rPr>
      </w:pPr>
    </w:p>
    <w:p w:rsidR="00134059" w:rsidRDefault="00134059" w:rsidP="00E72D55">
      <w:pPr>
        <w:spacing w:line="240" w:lineRule="auto"/>
        <w:rPr>
          <w:rFonts w:ascii="Times New Roman" w:hAnsi="Times New Roman" w:cs="Times New Roman"/>
          <w:sz w:val="24"/>
          <w:szCs w:val="24"/>
        </w:rPr>
      </w:pPr>
      <w:r>
        <w:rPr>
          <w:rFonts w:cs="Times New Roman"/>
        </w:rPr>
        <w:tab/>
      </w:r>
      <w:r>
        <w:rPr>
          <w:rFonts w:ascii="Times New Roman" w:hAnsi="Times New Roman" w:cs="Times New Roman"/>
          <w:sz w:val="24"/>
          <w:szCs w:val="24"/>
        </w:rPr>
        <w:t>More current information about local economies can be derived by examining recent job growth rates (Figure 10).   Asheville, Charlotte, Winston-Sal</w:t>
      </w:r>
      <w:r w:rsidR="003E64C0">
        <w:rPr>
          <w:rFonts w:ascii="Times New Roman" w:hAnsi="Times New Roman" w:cs="Times New Roman"/>
          <w:sz w:val="24"/>
          <w:szCs w:val="24"/>
        </w:rPr>
        <w:t>em, Non-M</w:t>
      </w:r>
      <w:r>
        <w:rPr>
          <w:rFonts w:ascii="Times New Roman" w:hAnsi="Times New Roman" w:cs="Times New Roman"/>
          <w:sz w:val="24"/>
          <w:szCs w:val="24"/>
        </w:rPr>
        <w:t>etro, and Wilmington have each experienced faster job growth rates then the state in the last year</w:t>
      </w:r>
      <w:r w:rsidR="003E64C0">
        <w:rPr>
          <w:rFonts w:ascii="Times New Roman" w:hAnsi="Times New Roman" w:cs="Times New Roman"/>
          <w:sz w:val="24"/>
          <w:szCs w:val="24"/>
        </w:rPr>
        <w:t>.  The high ranking of the Non-Metro region coincides with</w:t>
      </w:r>
      <w:r>
        <w:rPr>
          <w:rFonts w:ascii="Times New Roman" w:hAnsi="Times New Roman" w:cs="Times New Roman"/>
          <w:sz w:val="24"/>
          <w:szCs w:val="24"/>
        </w:rPr>
        <w:t xml:space="preserve"> some positive economic announcements and trends in rural areas during 2018 and 2019.  </w:t>
      </w:r>
    </w:p>
    <w:p w:rsidR="00134059" w:rsidRPr="00134059" w:rsidRDefault="00134059" w:rsidP="00E72D5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On the “down” side, five regions – Jacksonville, Burlington, Greensboro, Greenville, and New Bern – did lose jobs in the last year, and Goldsboro had no change in total jobs.   </w:t>
      </w:r>
    </w:p>
    <w:p w:rsidR="00A31D49" w:rsidRDefault="00A31D49" w:rsidP="00E72D55">
      <w:pPr>
        <w:spacing w:line="240" w:lineRule="auto"/>
        <w:rPr>
          <w:rFonts w:ascii="Times New Roman" w:hAnsi="Times New Roman" w:cs="Times New Roman"/>
          <w:sz w:val="24"/>
          <w:szCs w:val="24"/>
        </w:rPr>
      </w:pPr>
    </w:p>
    <w:p w:rsidR="00134059" w:rsidRDefault="00134059" w:rsidP="00E72D55">
      <w:pPr>
        <w:spacing w:line="240" w:lineRule="auto"/>
        <w:rPr>
          <w:rFonts w:ascii="Times New Roman" w:hAnsi="Times New Roman" w:cs="Times New Roman"/>
          <w:sz w:val="24"/>
          <w:szCs w:val="24"/>
        </w:rPr>
      </w:pPr>
    </w:p>
    <w:p w:rsidR="00A31D49" w:rsidRDefault="00A31D49" w:rsidP="00E72D5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Forecasts</w:t>
      </w:r>
    </w:p>
    <w:p w:rsidR="00676F67" w:rsidRDefault="00A31D49" w:rsidP="00A31D49">
      <w:pPr>
        <w:spacing w:line="240" w:lineRule="auto"/>
        <w:rPr>
          <w:rFonts w:ascii="Times New Roman" w:hAnsi="Times New Roman" w:cs="Times New Roman"/>
          <w:sz w:val="24"/>
          <w:szCs w:val="24"/>
        </w:rPr>
      </w:pPr>
      <w:r>
        <w:rPr>
          <w:rFonts w:ascii="Times New Roman" w:hAnsi="Times New Roman" w:cs="Times New Roman"/>
          <w:b/>
          <w:sz w:val="24"/>
          <w:szCs w:val="24"/>
        </w:rPr>
        <w:tab/>
      </w:r>
      <w:r w:rsidR="00DB03E7">
        <w:rPr>
          <w:rFonts w:ascii="Times New Roman" w:hAnsi="Times New Roman" w:cs="Times New Roman"/>
          <w:sz w:val="24"/>
          <w:szCs w:val="24"/>
        </w:rPr>
        <w:t>The NCSU Index of North Carolina Leadin</w:t>
      </w:r>
      <w:r w:rsidR="00134059">
        <w:rPr>
          <w:rFonts w:ascii="Times New Roman" w:hAnsi="Times New Roman" w:cs="Times New Roman"/>
          <w:sz w:val="24"/>
          <w:szCs w:val="24"/>
        </w:rPr>
        <w:t>g Economic Indicators (Figure 11</w:t>
      </w:r>
      <w:r w:rsidR="00DB03E7">
        <w:rPr>
          <w:rFonts w:ascii="Times New Roman" w:hAnsi="Times New Roman" w:cs="Times New Roman"/>
          <w:sz w:val="24"/>
          <w:szCs w:val="24"/>
        </w:rPr>
        <w:t xml:space="preserve">) trended upward in 2018 until Hurricane Florence, which sent the Index tumbling in September.  However, this was a temporary decline, with half of </w:t>
      </w:r>
      <w:r w:rsidR="007A7339">
        <w:rPr>
          <w:rFonts w:ascii="Times New Roman" w:hAnsi="Times New Roman" w:cs="Times New Roman"/>
          <w:sz w:val="24"/>
          <w:szCs w:val="24"/>
        </w:rPr>
        <w:t xml:space="preserve">the </w:t>
      </w:r>
      <w:r w:rsidR="00DB03E7">
        <w:rPr>
          <w:rFonts w:ascii="Times New Roman" w:hAnsi="Times New Roman" w:cs="Times New Roman"/>
          <w:sz w:val="24"/>
          <w:szCs w:val="24"/>
        </w:rPr>
        <w:t>drop eli</w:t>
      </w:r>
      <w:r w:rsidR="00134059">
        <w:rPr>
          <w:rFonts w:ascii="Times New Roman" w:hAnsi="Times New Roman" w:cs="Times New Roman"/>
          <w:sz w:val="24"/>
          <w:szCs w:val="24"/>
        </w:rPr>
        <w:t>minated in October. Yet since that rebound the Index has showed little change – essentially moving sideways.  One interpretation is the Index is signaling slower growth in the months ahead.</w:t>
      </w:r>
    </w:p>
    <w:p w:rsidR="00792A1B" w:rsidRDefault="00134059" w:rsidP="00A31D4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Indeed, slower growth – but no recession – is exactly in line with many national forecasts.  In early 2019 real GDP in North Carolina grew at an annualized rate of 2.8%.   </w:t>
      </w:r>
      <w:r w:rsidR="00792A1B">
        <w:rPr>
          <w:rFonts w:ascii="Times New Roman" w:hAnsi="Times New Roman" w:cs="Times New Roman"/>
          <w:sz w:val="24"/>
          <w:szCs w:val="24"/>
        </w:rPr>
        <w:t xml:space="preserve">An </w:t>
      </w:r>
      <w:r w:rsidR="00792A1B" w:rsidRPr="00792A1B">
        <w:rPr>
          <w:rFonts w:ascii="Times New Roman" w:hAnsi="Times New Roman" w:cs="Times New Roman"/>
          <w:b/>
          <w:sz w:val="24"/>
          <w:szCs w:val="24"/>
        </w:rPr>
        <w:t>annualized real</w:t>
      </w:r>
      <w:r w:rsidR="00792A1B">
        <w:rPr>
          <w:rFonts w:ascii="Times New Roman" w:hAnsi="Times New Roman" w:cs="Times New Roman"/>
          <w:sz w:val="24"/>
          <w:szCs w:val="24"/>
        </w:rPr>
        <w:t xml:space="preserve"> </w:t>
      </w:r>
      <w:r w:rsidR="00792A1B" w:rsidRPr="00792A1B">
        <w:rPr>
          <w:rFonts w:ascii="Times New Roman" w:hAnsi="Times New Roman" w:cs="Times New Roman"/>
          <w:b/>
          <w:sz w:val="24"/>
          <w:szCs w:val="24"/>
        </w:rPr>
        <w:t>GDP growth rate in the range of</w:t>
      </w:r>
      <w:r w:rsidR="00792A1B">
        <w:rPr>
          <w:rFonts w:ascii="Times New Roman" w:hAnsi="Times New Roman" w:cs="Times New Roman"/>
          <w:sz w:val="24"/>
          <w:szCs w:val="24"/>
        </w:rPr>
        <w:t xml:space="preserve"> </w:t>
      </w:r>
      <w:r w:rsidR="00792A1B" w:rsidRPr="00792A1B">
        <w:rPr>
          <w:rFonts w:ascii="Times New Roman" w:hAnsi="Times New Roman" w:cs="Times New Roman"/>
          <w:b/>
          <w:sz w:val="24"/>
          <w:szCs w:val="24"/>
        </w:rPr>
        <w:t>2.2% to 2.5%</w:t>
      </w:r>
      <w:r w:rsidR="00792A1B">
        <w:rPr>
          <w:rFonts w:ascii="Times New Roman" w:hAnsi="Times New Roman" w:cs="Times New Roman"/>
          <w:sz w:val="24"/>
          <w:szCs w:val="24"/>
        </w:rPr>
        <w:t xml:space="preserve"> seems to be reasonable for late 2019 and early 2020.   An annual payroll jobs growth rate of 1.4% would continue recent labor market trends and generate </w:t>
      </w:r>
      <w:r w:rsidR="00792A1B" w:rsidRPr="00792A1B">
        <w:rPr>
          <w:rFonts w:ascii="Times New Roman" w:hAnsi="Times New Roman" w:cs="Times New Roman"/>
          <w:b/>
          <w:sz w:val="24"/>
          <w:szCs w:val="24"/>
        </w:rPr>
        <w:t>65,000 net new jobs in the state in both 2019 and 2020</w:t>
      </w:r>
      <w:r w:rsidR="00792A1B">
        <w:rPr>
          <w:rFonts w:ascii="Times New Roman" w:hAnsi="Times New Roman" w:cs="Times New Roman"/>
          <w:sz w:val="24"/>
          <w:szCs w:val="24"/>
        </w:rPr>
        <w:t>.</w:t>
      </w:r>
    </w:p>
    <w:p w:rsidR="00354A3B" w:rsidRDefault="00792A1B" w:rsidP="00A31D4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There has been little trend in the state unemployment rate in the last year as g</w:t>
      </w:r>
      <w:r w:rsidR="003E64C0">
        <w:rPr>
          <w:rFonts w:ascii="Times New Roman" w:hAnsi="Times New Roman" w:cs="Times New Roman"/>
          <w:sz w:val="24"/>
          <w:szCs w:val="24"/>
        </w:rPr>
        <w:t>ains from new jobs are accommodated</w:t>
      </w:r>
      <w:r>
        <w:rPr>
          <w:rFonts w:ascii="Times New Roman" w:hAnsi="Times New Roman" w:cs="Times New Roman"/>
          <w:sz w:val="24"/>
          <w:szCs w:val="24"/>
        </w:rPr>
        <w:t xml:space="preserve"> by increases in the number of individuals actively looking for work.  As suggested earlier, this is a good situation because it means jobless workers who have been on the sidelines not seeking work have become encouraged </w:t>
      </w:r>
      <w:r w:rsidR="003E64C0">
        <w:rPr>
          <w:rFonts w:ascii="Times New Roman" w:hAnsi="Times New Roman" w:cs="Times New Roman"/>
          <w:sz w:val="24"/>
          <w:szCs w:val="24"/>
        </w:rPr>
        <w:t>to look for – and in many cases -</w:t>
      </w:r>
      <w:r>
        <w:rPr>
          <w:rFonts w:ascii="Times New Roman" w:hAnsi="Times New Roman" w:cs="Times New Roman"/>
          <w:sz w:val="24"/>
          <w:szCs w:val="24"/>
        </w:rPr>
        <w:t xml:space="preserve"> ob</w:t>
      </w:r>
      <w:r w:rsidR="003E64C0">
        <w:rPr>
          <w:rFonts w:ascii="Times New Roman" w:hAnsi="Times New Roman" w:cs="Times New Roman"/>
          <w:sz w:val="24"/>
          <w:szCs w:val="24"/>
        </w:rPr>
        <w:t xml:space="preserve">tain employment.  Hence, I </w:t>
      </w:r>
      <w:r>
        <w:rPr>
          <w:rFonts w:ascii="Times New Roman" w:hAnsi="Times New Roman" w:cs="Times New Roman"/>
          <w:sz w:val="24"/>
          <w:szCs w:val="24"/>
        </w:rPr>
        <w:t xml:space="preserve">predict the </w:t>
      </w:r>
      <w:r w:rsidRPr="00792A1B">
        <w:rPr>
          <w:rFonts w:ascii="Times New Roman" w:hAnsi="Times New Roman" w:cs="Times New Roman"/>
          <w:b/>
          <w:sz w:val="24"/>
          <w:szCs w:val="24"/>
        </w:rPr>
        <w:t>state jobless rate will continue in a range of 3.8% to 4.1%</w:t>
      </w:r>
      <w:r>
        <w:rPr>
          <w:rFonts w:ascii="Times New Roman" w:hAnsi="Times New Roman" w:cs="Times New Roman"/>
          <w:sz w:val="24"/>
          <w:szCs w:val="24"/>
        </w:rPr>
        <w:t xml:space="preserve"> for the foreseeable future.</w:t>
      </w:r>
    </w:p>
    <w:p w:rsidR="00792A1B" w:rsidRDefault="00792A1B" w:rsidP="00A31D49">
      <w:pPr>
        <w:spacing w:line="240" w:lineRule="auto"/>
        <w:rPr>
          <w:rFonts w:ascii="Times New Roman" w:hAnsi="Times New Roman" w:cs="Times New Roman"/>
          <w:sz w:val="24"/>
          <w:szCs w:val="24"/>
        </w:rPr>
      </w:pPr>
      <w:r>
        <w:rPr>
          <w:rFonts w:ascii="Times New Roman" w:hAnsi="Times New Roman" w:cs="Times New Roman"/>
          <w:sz w:val="24"/>
          <w:szCs w:val="24"/>
        </w:rPr>
        <w:tab/>
        <w:t>Several external factors could influence these predicti</w:t>
      </w:r>
      <w:r w:rsidR="00800494">
        <w:rPr>
          <w:rFonts w:ascii="Times New Roman" w:hAnsi="Times New Roman" w:cs="Times New Roman"/>
          <w:sz w:val="24"/>
          <w:szCs w:val="24"/>
        </w:rPr>
        <w:t>ons either</w:t>
      </w:r>
      <w:r>
        <w:rPr>
          <w:rFonts w:ascii="Times New Roman" w:hAnsi="Times New Roman" w:cs="Times New Roman"/>
          <w:sz w:val="24"/>
          <w:szCs w:val="24"/>
        </w:rPr>
        <w:t xml:space="preserve"> positively or negatively.  First and foremost are trade negotiations with China, but also with the EU, UK, and Japan.  </w:t>
      </w:r>
      <w:r w:rsidR="00800494">
        <w:rPr>
          <w:rFonts w:ascii="Times New Roman" w:hAnsi="Times New Roman" w:cs="Times New Roman"/>
          <w:sz w:val="24"/>
          <w:szCs w:val="24"/>
        </w:rPr>
        <w:t>Successful agreements will boost the economy and economic forecasts, while failure to achieve agreements – or worse – an intensification of disagreements, would reduce growth in the economy now and in the future.</w:t>
      </w:r>
    </w:p>
    <w:p w:rsidR="00800494" w:rsidRDefault="00800494" w:rsidP="00A31D4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Likewise, a trade agreement already made, the USMCA (US, Mexico, Canada Agreement) is awaiting ratification in the US Congress.   Failure of the treaty to be ratified would be a negative </w:t>
      </w:r>
      <w:r w:rsidR="003E64C0">
        <w:rPr>
          <w:rFonts w:ascii="Times New Roman" w:hAnsi="Times New Roman" w:cs="Times New Roman"/>
          <w:sz w:val="24"/>
          <w:szCs w:val="24"/>
        </w:rPr>
        <w:t>influence on both the national and North Carolina economies</w:t>
      </w:r>
      <w:r>
        <w:rPr>
          <w:rFonts w:ascii="Times New Roman" w:hAnsi="Times New Roman" w:cs="Times New Roman"/>
          <w:sz w:val="24"/>
          <w:szCs w:val="24"/>
        </w:rPr>
        <w:t xml:space="preserve">. </w:t>
      </w:r>
    </w:p>
    <w:p w:rsidR="00800494" w:rsidRDefault="00800494" w:rsidP="00584469">
      <w:pPr>
        <w:spacing w:line="240" w:lineRule="auto"/>
        <w:rPr>
          <w:rFonts w:ascii="Times New Roman" w:hAnsi="Times New Roman" w:cs="Times New Roman"/>
          <w:sz w:val="24"/>
          <w:szCs w:val="24"/>
        </w:rPr>
      </w:pPr>
      <w:r>
        <w:rPr>
          <w:rFonts w:ascii="Times New Roman" w:hAnsi="Times New Roman" w:cs="Times New Roman"/>
          <w:sz w:val="24"/>
          <w:szCs w:val="24"/>
        </w:rPr>
        <w:tab/>
        <w:t>Then there are possible geo-political disputes, with Iran in the Middle East, North Korea</w:t>
      </w:r>
      <w:r w:rsidR="003E64C0">
        <w:rPr>
          <w:rFonts w:ascii="Times New Roman" w:hAnsi="Times New Roman" w:cs="Times New Roman"/>
          <w:sz w:val="24"/>
          <w:szCs w:val="24"/>
        </w:rPr>
        <w:t xml:space="preserve"> on the Korean Peninsula</w:t>
      </w:r>
      <w:r>
        <w:rPr>
          <w:rFonts w:ascii="Times New Roman" w:hAnsi="Times New Roman" w:cs="Times New Roman"/>
          <w:sz w:val="24"/>
          <w:szCs w:val="24"/>
        </w:rPr>
        <w:t>, and even with Russia in several regions, that could become more contentious and cause consumer and business confidence, the stock</w:t>
      </w:r>
      <w:r w:rsidR="003E64C0">
        <w:rPr>
          <w:rFonts w:ascii="Times New Roman" w:hAnsi="Times New Roman" w:cs="Times New Roman"/>
          <w:sz w:val="24"/>
          <w:szCs w:val="24"/>
        </w:rPr>
        <w:t xml:space="preserve"> market, and the entire economy</w:t>
      </w:r>
      <w:r>
        <w:rPr>
          <w:rFonts w:ascii="Times New Roman" w:hAnsi="Times New Roman" w:cs="Times New Roman"/>
          <w:sz w:val="24"/>
          <w:szCs w:val="24"/>
        </w:rPr>
        <w:t xml:space="preserve"> to drop.</w:t>
      </w:r>
    </w:p>
    <w:p w:rsidR="00B0627B" w:rsidRDefault="00B0627B" w:rsidP="00584469">
      <w:pPr>
        <w:spacing w:line="240" w:lineRule="auto"/>
        <w:rPr>
          <w:rFonts w:ascii="Times New Roman" w:hAnsi="Times New Roman" w:cs="Times New Roman"/>
          <w:sz w:val="24"/>
          <w:szCs w:val="24"/>
        </w:rPr>
      </w:pPr>
      <w:r>
        <w:rPr>
          <w:rFonts w:ascii="Times New Roman" w:hAnsi="Times New Roman" w:cs="Times New Roman"/>
          <w:sz w:val="24"/>
          <w:szCs w:val="24"/>
        </w:rPr>
        <w:tab/>
      </w:r>
      <w:r w:rsidR="00D418E5">
        <w:rPr>
          <w:rFonts w:ascii="Times New Roman" w:hAnsi="Times New Roman" w:cs="Times New Roman"/>
          <w:sz w:val="24"/>
          <w:szCs w:val="24"/>
        </w:rPr>
        <w:t>Table 1 shows the most current (June 2019) and year-ahead forecasts of unemployment rates in th</w:t>
      </w:r>
      <w:r w:rsidR="003E64C0">
        <w:rPr>
          <w:rFonts w:ascii="Times New Roman" w:hAnsi="Times New Roman" w:cs="Times New Roman"/>
          <w:sz w:val="24"/>
          <w:szCs w:val="24"/>
        </w:rPr>
        <w:t>e state’s regions.  In June 2020</w:t>
      </w:r>
      <w:r w:rsidR="00D418E5">
        <w:rPr>
          <w:rFonts w:ascii="Times New Roman" w:hAnsi="Times New Roman" w:cs="Times New Roman"/>
          <w:sz w:val="24"/>
          <w:szCs w:val="24"/>
        </w:rPr>
        <w:t>, the lowest unemployment rate will be in Asheville (3.5%) and the highest rate will be in</w:t>
      </w:r>
      <w:r w:rsidR="003E64C0">
        <w:rPr>
          <w:rFonts w:ascii="Times New Roman" w:hAnsi="Times New Roman" w:cs="Times New Roman"/>
          <w:sz w:val="24"/>
          <w:szCs w:val="24"/>
        </w:rPr>
        <w:t xml:space="preserve"> Rocky Mount (5.7%).  J</w:t>
      </w:r>
      <w:r w:rsidR="00D418E5">
        <w:rPr>
          <w:rFonts w:ascii="Times New Roman" w:hAnsi="Times New Roman" w:cs="Times New Roman"/>
          <w:sz w:val="24"/>
          <w:szCs w:val="24"/>
        </w:rPr>
        <w:t>obless rates in all regions are expected to drop between June 2019 and June 2020.   However, the reductions will be modest.</w:t>
      </w:r>
    </w:p>
    <w:p w:rsidR="00800494" w:rsidRDefault="00800494" w:rsidP="00584469">
      <w:pPr>
        <w:spacing w:line="240" w:lineRule="auto"/>
        <w:rPr>
          <w:rFonts w:ascii="Times New Roman" w:hAnsi="Times New Roman" w:cs="Times New Roman"/>
          <w:sz w:val="24"/>
          <w:szCs w:val="24"/>
        </w:rPr>
      </w:pPr>
    </w:p>
    <w:p w:rsidR="00800494" w:rsidRDefault="00800494" w:rsidP="00584469">
      <w:pPr>
        <w:spacing w:line="240" w:lineRule="auto"/>
        <w:rPr>
          <w:rFonts w:ascii="Times New Roman" w:hAnsi="Times New Roman" w:cs="Times New Roman"/>
          <w:sz w:val="24"/>
          <w:szCs w:val="24"/>
        </w:rPr>
      </w:pPr>
    </w:p>
    <w:p w:rsidR="00800494" w:rsidRDefault="00800494" w:rsidP="00584469">
      <w:pPr>
        <w:spacing w:line="240" w:lineRule="auto"/>
        <w:rPr>
          <w:rFonts w:ascii="Times New Roman" w:hAnsi="Times New Roman" w:cs="Times New Roman"/>
          <w:sz w:val="24"/>
          <w:szCs w:val="24"/>
        </w:rPr>
      </w:pPr>
    </w:p>
    <w:p w:rsidR="00800494" w:rsidRDefault="00800494" w:rsidP="00584469">
      <w:pPr>
        <w:spacing w:line="240" w:lineRule="auto"/>
        <w:rPr>
          <w:rFonts w:ascii="Times New Roman" w:hAnsi="Times New Roman" w:cs="Times New Roman"/>
          <w:sz w:val="24"/>
          <w:szCs w:val="24"/>
        </w:rPr>
      </w:pPr>
    </w:p>
    <w:p w:rsidR="00800494" w:rsidRDefault="00800494" w:rsidP="00584469">
      <w:pPr>
        <w:spacing w:line="240" w:lineRule="auto"/>
        <w:rPr>
          <w:rFonts w:ascii="Times New Roman" w:hAnsi="Times New Roman" w:cs="Times New Roman"/>
          <w:sz w:val="24"/>
          <w:szCs w:val="24"/>
        </w:rPr>
      </w:pPr>
    </w:p>
    <w:p w:rsidR="00800494" w:rsidRDefault="00800494" w:rsidP="00584469">
      <w:pPr>
        <w:spacing w:line="240" w:lineRule="auto"/>
        <w:rPr>
          <w:rFonts w:ascii="Times New Roman" w:hAnsi="Times New Roman" w:cs="Times New Roman"/>
          <w:sz w:val="24"/>
          <w:szCs w:val="24"/>
        </w:rPr>
      </w:pPr>
    </w:p>
    <w:p w:rsidR="00D418E5" w:rsidRPr="00800494" w:rsidRDefault="00D418E5" w:rsidP="00584469">
      <w:pPr>
        <w:spacing w:line="240" w:lineRule="auto"/>
        <w:rPr>
          <w:rFonts w:ascii="Times New Roman" w:hAnsi="Times New Roman" w:cs="Times New Roman"/>
          <w:sz w:val="24"/>
          <w:szCs w:val="24"/>
        </w:rPr>
      </w:pPr>
    </w:p>
    <w:p w:rsidR="006B7BA7" w:rsidRPr="0060778A" w:rsidRDefault="00A31D49"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w:t>
      </w:r>
      <w:r w:rsidR="002D000D">
        <w:rPr>
          <w:rFonts w:ascii="Times New Roman" w:hAnsi="Times New Roman" w:cs="Times New Roman"/>
          <w:b/>
          <w:sz w:val="24"/>
          <w:szCs w:val="24"/>
        </w:rPr>
        <w:t>igure 11</w:t>
      </w:r>
      <w:r w:rsidR="0060778A">
        <w:rPr>
          <w:rFonts w:ascii="Times New Roman" w:hAnsi="Times New Roman" w:cs="Times New Roman"/>
          <w:b/>
          <w:sz w:val="24"/>
          <w:szCs w:val="24"/>
        </w:rPr>
        <w:t xml:space="preserve">.  </w:t>
      </w:r>
      <w:r w:rsidR="00194D2D">
        <w:rPr>
          <w:rFonts w:ascii="Times New Roman" w:hAnsi="Times New Roman" w:cs="Times New Roman"/>
          <w:b/>
          <w:sz w:val="24"/>
          <w:szCs w:val="24"/>
        </w:rPr>
        <w:t>NCSU Index of North Carolina Leading Economic Indicators</w:t>
      </w:r>
      <w:r w:rsidR="0009186D">
        <w:rPr>
          <w:rFonts w:ascii="Times New Roman" w:hAnsi="Times New Roman" w:cs="Times New Roman"/>
          <w:b/>
          <w:sz w:val="24"/>
          <w:szCs w:val="24"/>
        </w:rPr>
        <w:t>.</w:t>
      </w:r>
    </w:p>
    <w:p w:rsidR="00302FE0" w:rsidRDefault="00302FE0" w:rsidP="001D4BA4">
      <w:pPr>
        <w:spacing w:line="240" w:lineRule="auto"/>
        <w:rPr>
          <w:rFonts w:ascii="Times New Roman" w:hAnsi="Times New Roman" w:cs="Times New Roman"/>
          <w:sz w:val="24"/>
          <w:szCs w:val="24"/>
        </w:rPr>
      </w:pPr>
    </w:p>
    <w:p w:rsidR="00FA1A14" w:rsidRDefault="002D000D" w:rsidP="007A7339">
      <w:pPr>
        <w:spacing w:line="240" w:lineRule="auto"/>
        <w:rPr>
          <w:rFonts w:ascii="Times New Roman" w:hAnsi="Times New Roman" w:cs="Times New Roman"/>
          <w:b/>
          <w:sz w:val="24"/>
          <w:szCs w:val="24"/>
        </w:rPr>
      </w:pPr>
      <w:r w:rsidRPr="000C6176">
        <w:rPr>
          <w:rFonts w:ascii="Times New Roman" w:hAnsi="Times New Roman" w:cs="Times New Roman"/>
          <w:noProof/>
        </w:rPr>
        <w:drawing>
          <wp:inline distT="0" distB="0" distL="0" distR="0" wp14:anchorId="65BF49B1" wp14:editId="767AFF10">
            <wp:extent cx="5943600" cy="3156668"/>
            <wp:effectExtent l="19050" t="19050" r="19050" b="24765"/>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4BD5" w:rsidRPr="00800494" w:rsidRDefault="00354BD5" w:rsidP="00800494">
      <w:pPr>
        <w:spacing w:line="240" w:lineRule="auto"/>
        <w:rPr>
          <w:rFonts w:ascii="Times New Roman" w:hAnsi="Times New Roman" w:cs="Times New Roman"/>
          <w:b/>
          <w:sz w:val="24"/>
          <w:szCs w:val="24"/>
        </w:rPr>
      </w:pPr>
    </w:p>
    <w:p w:rsidR="00302FE0" w:rsidRDefault="00302FE0" w:rsidP="001D4BA4">
      <w:pPr>
        <w:spacing w:line="240" w:lineRule="auto"/>
        <w:rPr>
          <w:rFonts w:ascii="Times New Roman" w:hAnsi="Times New Roman" w:cs="Times New Roman"/>
          <w:sz w:val="24"/>
          <w:szCs w:val="24"/>
        </w:rPr>
      </w:pPr>
    </w:p>
    <w:p w:rsidR="00C8630F" w:rsidRPr="00C8630F" w:rsidRDefault="00C8630F" w:rsidP="001D4BA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1. North Carolina Regional </w:t>
      </w:r>
      <w:r w:rsidR="0002430A">
        <w:rPr>
          <w:rFonts w:ascii="Times New Roman" w:hAnsi="Times New Roman" w:cs="Times New Roman"/>
          <w:b/>
          <w:sz w:val="24"/>
          <w:szCs w:val="24"/>
        </w:rPr>
        <w:t xml:space="preserve">“Headline” </w:t>
      </w:r>
      <w:r>
        <w:rPr>
          <w:rFonts w:ascii="Times New Roman" w:hAnsi="Times New Roman" w:cs="Times New Roman"/>
          <w:b/>
          <w:sz w:val="24"/>
          <w:szCs w:val="24"/>
        </w:rPr>
        <w:t>Unemployment Rate Forecasts.</w:t>
      </w:r>
    </w:p>
    <w:tbl>
      <w:tblPr>
        <w:tblStyle w:val="TableGrid"/>
        <w:tblW w:w="0" w:type="auto"/>
        <w:tblLook w:val="04A0" w:firstRow="1" w:lastRow="0" w:firstColumn="1" w:lastColumn="0" w:noHBand="0" w:noVBand="1"/>
      </w:tblPr>
      <w:tblGrid>
        <w:gridCol w:w="2425"/>
        <w:gridCol w:w="2340"/>
        <w:gridCol w:w="3510"/>
      </w:tblGrid>
      <w:tr w:rsidR="00320CFA" w:rsidTr="00914251">
        <w:tc>
          <w:tcPr>
            <w:tcW w:w="2425" w:type="dxa"/>
          </w:tcPr>
          <w:p w:rsidR="00320CFA" w:rsidRPr="00320CFA" w:rsidRDefault="00320CFA" w:rsidP="001D4BA4">
            <w:pPr>
              <w:rPr>
                <w:rFonts w:ascii="Times New Roman" w:hAnsi="Times New Roman" w:cs="Times New Roman"/>
                <w:b/>
                <w:sz w:val="24"/>
                <w:szCs w:val="24"/>
              </w:rPr>
            </w:pPr>
            <w:r>
              <w:rPr>
                <w:rFonts w:ascii="Times New Roman" w:hAnsi="Times New Roman" w:cs="Times New Roman"/>
                <w:b/>
                <w:sz w:val="24"/>
                <w:szCs w:val="24"/>
              </w:rPr>
              <w:t>Region</w:t>
            </w:r>
          </w:p>
        </w:tc>
        <w:tc>
          <w:tcPr>
            <w:tcW w:w="2340" w:type="dxa"/>
          </w:tcPr>
          <w:p w:rsidR="00320CFA" w:rsidRPr="00320CFA" w:rsidRDefault="001E668B" w:rsidP="001D4BA4">
            <w:pPr>
              <w:rPr>
                <w:rFonts w:ascii="Times New Roman" w:hAnsi="Times New Roman" w:cs="Times New Roman"/>
                <w:b/>
                <w:sz w:val="24"/>
                <w:szCs w:val="24"/>
              </w:rPr>
            </w:pPr>
            <w:r>
              <w:rPr>
                <w:rFonts w:ascii="Times New Roman" w:hAnsi="Times New Roman" w:cs="Times New Roman"/>
                <w:b/>
                <w:sz w:val="24"/>
                <w:szCs w:val="24"/>
              </w:rPr>
              <w:t xml:space="preserve">  </w:t>
            </w:r>
            <w:r w:rsidR="008A190D">
              <w:rPr>
                <w:rFonts w:ascii="Times New Roman" w:hAnsi="Times New Roman" w:cs="Times New Roman"/>
                <w:b/>
                <w:sz w:val="24"/>
                <w:szCs w:val="24"/>
              </w:rPr>
              <w:t xml:space="preserve"> </w:t>
            </w:r>
            <w:r w:rsidR="00B0627B">
              <w:rPr>
                <w:rFonts w:ascii="Times New Roman" w:hAnsi="Times New Roman" w:cs="Times New Roman"/>
                <w:b/>
                <w:sz w:val="24"/>
                <w:szCs w:val="24"/>
              </w:rPr>
              <w:t xml:space="preserve"> June 2019</w:t>
            </w:r>
            <w:r w:rsidR="00320CFA">
              <w:rPr>
                <w:rFonts w:ascii="Times New Roman" w:hAnsi="Times New Roman" w:cs="Times New Roman"/>
                <w:b/>
                <w:sz w:val="24"/>
                <w:szCs w:val="24"/>
              </w:rPr>
              <w:t xml:space="preserve"> Rate</w:t>
            </w:r>
          </w:p>
        </w:tc>
        <w:tc>
          <w:tcPr>
            <w:tcW w:w="3510" w:type="dxa"/>
          </w:tcPr>
          <w:p w:rsidR="00320CFA" w:rsidRPr="00320CFA" w:rsidRDefault="00B0627B" w:rsidP="001D4BA4">
            <w:pPr>
              <w:rPr>
                <w:rFonts w:ascii="Times New Roman" w:hAnsi="Times New Roman" w:cs="Times New Roman"/>
                <w:b/>
                <w:sz w:val="24"/>
                <w:szCs w:val="24"/>
              </w:rPr>
            </w:pPr>
            <w:r>
              <w:rPr>
                <w:rFonts w:ascii="Times New Roman" w:hAnsi="Times New Roman" w:cs="Times New Roman"/>
                <w:b/>
                <w:sz w:val="24"/>
                <w:szCs w:val="24"/>
              </w:rPr>
              <w:t xml:space="preserve">  Forecasted June 2020</w:t>
            </w:r>
            <w:r w:rsidR="00320CFA">
              <w:rPr>
                <w:rFonts w:ascii="Times New Roman" w:hAnsi="Times New Roman" w:cs="Times New Roman"/>
                <w:b/>
                <w:sz w:val="24"/>
                <w:szCs w:val="24"/>
              </w:rPr>
              <w:t xml:space="preserve"> Rate</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Asheville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3.6</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3.5</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Burlington</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4.4</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w:t>
            </w:r>
            <w:r w:rsidR="001E668B">
              <w:rPr>
                <w:rFonts w:ascii="Times New Roman" w:hAnsi="Times New Roman" w:cs="Times New Roman"/>
                <w:sz w:val="24"/>
                <w:szCs w:val="24"/>
              </w:rPr>
              <w:t>.1</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Charlotte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4.1</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w:t>
            </w:r>
            <w:r w:rsidR="001E668B">
              <w:rPr>
                <w:rFonts w:ascii="Times New Roman" w:hAnsi="Times New Roman" w:cs="Times New Roman"/>
                <w:sz w:val="24"/>
                <w:szCs w:val="24"/>
              </w:rPr>
              <w:t>.8</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Durham</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4.1</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3.6</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Fayetteville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5.7</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5.5</w:t>
            </w:r>
            <w:r w:rsidR="00320CFA">
              <w:rPr>
                <w:rFonts w:ascii="Times New Roman" w:hAnsi="Times New Roman" w:cs="Times New Roman"/>
                <w:sz w:val="24"/>
                <w:szCs w:val="24"/>
              </w:rPr>
              <w:t>%</w:t>
            </w:r>
          </w:p>
        </w:tc>
      </w:tr>
      <w:tr w:rsidR="00320CFA" w:rsidTr="00914251">
        <w:tc>
          <w:tcPr>
            <w:tcW w:w="2425" w:type="dxa"/>
          </w:tcPr>
          <w:p w:rsidR="00320CFA" w:rsidRDefault="001E668B" w:rsidP="001D4BA4">
            <w:pPr>
              <w:rPr>
                <w:rFonts w:ascii="Times New Roman" w:hAnsi="Times New Roman" w:cs="Times New Roman"/>
                <w:sz w:val="24"/>
                <w:szCs w:val="24"/>
              </w:rPr>
            </w:pPr>
            <w:r>
              <w:rPr>
                <w:rFonts w:ascii="Times New Roman" w:hAnsi="Times New Roman" w:cs="Times New Roman"/>
                <w:sz w:val="24"/>
                <w:szCs w:val="24"/>
              </w:rPr>
              <w:t>Goldsboro</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4.8</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4.5</w:t>
            </w:r>
            <w:r w:rsidR="00320CFA">
              <w:rPr>
                <w:rFonts w:ascii="Times New Roman" w:hAnsi="Times New Roman" w:cs="Times New Roman"/>
                <w:sz w:val="24"/>
                <w:szCs w:val="24"/>
              </w:rPr>
              <w:t>%</w:t>
            </w:r>
          </w:p>
        </w:tc>
      </w:tr>
      <w:tr w:rsidR="00320CFA" w:rsidTr="00914251">
        <w:tc>
          <w:tcPr>
            <w:tcW w:w="2425" w:type="dxa"/>
          </w:tcPr>
          <w:p w:rsidR="00320CFA" w:rsidRDefault="001E668B" w:rsidP="001D4BA4">
            <w:pPr>
              <w:rPr>
                <w:rFonts w:ascii="Times New Roman" w:hAnsi="Times New Roman" w:cs="Times New Roman"/>
                <w:sz w:val="24"/>
                <w:szCs w:val="24"/>
              </w:rPr>
            </w:pPr>
            <w:r>
              <w:rPr>
                <w:rFonts w:ascii="Times New Roman" w:hAnsi="Times New Roman" w:cs="Times New Roman"/>
                <w:sz w:val="24"/>
                <w:szCs w:val="24"/>
              </w:rPr>
              <w:t>Greensboro</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4.8</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4.6</w:t>
            </w:r>
            <w:r w:rsidR="00320CFA">
              <w:rPr>
                <w:rFonts w:ascii="Times New Roman" w:hAnsi="Times New Roman" w:cs="Times New Roman"/>
                <w:sz w:val="24"/>
                <w:szCs w:val="24"/>
              </w:rPr>
              <w:t>%</w:t>
            </w:r>
          </w:p>
        </w:tc>
      </w:tr>
      <w:tr w:rsidR="00320CFA" w:rsidTr="00914251">
        <w:tc>
          <w:tcPr>
            <w:tcW w:w="2425" w:type="dxa"/>
          </w:tcPr>
          <w:p w:rsidR="00320CFA" w:rsidRDefault="001E668B" w:rsidP="001D4BA4">
            <w:pPr>
              <w:rPr>
                <w:rFonts w:ascii="Times New Roman" w:hAnsi="Times New Roman" w:cs="Times New Roman"/>
                <w:sz w:val="24"/>
                <w:szCs w:val="24"/>
              </w:rPr>
            </w:pPr>
            <w:r>
              <w:rPr>
                <w:rFonts w:ascii="Times New Roman" w:hAnsi="Times New Roman" w:cs="Times New Roman"/>
                <w:sz w:val="24"/>
                <w:szCs w:val="24"/>
              </w:rPr>
              <w:t>Greenville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5.2</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4.8</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Hickory</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4.3</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3.9</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Jacksonville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5.3</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4.9</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New Bern</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4.7</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4.5</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Raleigh</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1E668B">
              <w:rPr>
                <w:rFonts w:ascii="Times New Roman" w:hAnsi="Times New Roman" w:cs="Times New Roman"/>
                <w:sz w:val="24"/>
                <w:szCs w:val="24"/>
              </w:rPr>
              <w:t xml:space="preserve"> </w:t>
            </w:r>
            <w:r w:rsidR="00B0627B">
              <w:rPr>
                <w:rFonts w:ascii="Times New Roman" w:hAnsi="Times New Roman" w:cs="Times New Roman"/>
                <w:sz w:val="24"/>
                <w:szCs w:val="24"/>
              </w:rPr>
              <w:t>4.0</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w:t>
            </w:r>
            <w:r w:rsidR="001E668B">
              <w:rPr>
                <w:rFonts w:ascii="Times New Roman" w:hAnsi="Times New Roman" w:cs="Times New Roman"/>
                <w:sz w:val="24"/>
                <w:szCs w:val="24"/>
              </w:rPr>
              <w:t>.4</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Rocky Mount</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6.1</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5.7</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Wilmington</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4.1</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3.8</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Winston-Salem</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4.3</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B0627B">
              <w:rPr>
                <w:rFonts w:ascii="Times New Roman" w:hAnsi="Times New Roman" w:cs="Times New Roman"/>
                <w:sz w:val="24"/>
                <w:szCs w:val="24"/>
              </w:rPr>
              <w:t>3.9</w:t>
            </w:r>
            <w:r w:rsidR="00320CFA">
              <w:rPr>
                <w:rFonts w:ascii="Times New Roman" w:hAnsi="Times New Roman" w:cs="Times New Roman"/>
                <w:sz w:val="24"/>
                <w:szCs w:val="24"/>
              </w:rPr>
              <w:t>%</w:t>
            </w:r>
          </w:p>
        </w:tc>
      </w:tr>
      <w:tr w:rsidR="00B0627B" w:rsidTr="00914251">
        <w:tc>
          <w:tcPr>
            <w:tcW w:w="2425" w:type="dxa"/>
          </w:tcPr>
          <w:p w:rsidR="00B0627B" w:rsidRDefault="00B0627B" w:rsidP="001D4BA4">
            <w:pPr>
              <w:rPr>
                <w:rFonts w:ascii="Times New Roman" w:hAnsi="Times New Roman" w:cs="Times New Roman"/>
                <w:sz w:val="24"/>
                <w:szCs w:val="24"/>
              </w:rPr>
            </w:pPr>
            <w:r>
              <w:rPr>
                <w:rFonts w:ascii="Times New Roman" w:hAnsi="Times New Roman" w:cs="Times New Roman"/>
                <w:sz w:val="24"/>
                <w:szCs w:val="24"/>
              </w:rPr>
              <w:t>Non-Metro</w:t>
            </w:r>
          </w:p>
        </w:tc>
        <w:tc>
          <w:tcPr>
            <w:tcW w:w="2340" w:type="dxa"/>
          </w:tcPr>
          <w:p w:rsidR="00B0627B" w:rsidRDefault="00B0627B" w:rsidP="001D4BA4">
            <w:pPr>
              <w:rPr>
                <w:rFonts w:ascii="Times New Roman" w:hAnsi="Times New Roman" w:cs="Times New Roman"/>
                <w:sz w:val="24"/>
                <w:szCs w:val="24"/>
              </w:rPr>
            </w:pPr>
            <w:r>
              <w:rPr>
                <w:rFonts w:ascii="Times New Roman" w:hAnsi="Times New Roman" w:cs="Times New Roman"/>
                <w:sz w:val="24"/>
                <w:szCs w:val="24"/>
              </w:rPr>
              <w:t xml:space="preserve">             5.4%</w:t>
            </w:r>
          </w:p>
        </w:tc>
        <w:tc>
          <w:tcPr>
            <w:tcW w:w="3510" w:type="dxa"/>
          </w:tcPr>
          <w:p w:rsidR="00B0627B" w:rsidRDefault="00B0627B" w:rsidP="001D4BA4">
            <w:pPr>
              <w:rPr>
                <w:rFonts w:ascii="Times New Roman" w:hAnsi="Times New Roman" w:cs="Times New Roman"/>
                <w:sz w:val="24"/>
                <w:szCs w:val="24"/>
              </w:rPr>
            </w:pPr>
            <w:r>
              <w:rPr>
                <w:rFonts w:ascii="Times New Roman" w:hAnsi="Times New Roman" w:cs="Times New Roman"/>
                <w:sz w:val="24"/>
                <w:szCs w:val="24"/>
              </w:rPr>
              <w:t xml:space="preserve">                       5.1%</w:t>
            </w:r>
          </w:p>
        </w:tc>
      </w:tr>
    </w:tbl>
    <w:p w:rsidR="001C5211" w:rsidRPr="00B0627B" w:rsidRDefault="00E2345B" w:rsidP="001D4BA4">
      <w:pPr>
        <w:spacing w:line="240" w:lineRule="auto"/>
        <w:rPr>
          <w:rFonts w:cstheme="minorHAnsi"/>
        </w:rPr>
      </w:pPr>
      <w:r>
        <w:rPr>
          <w:rFonts w:cstheme="minorHAnsi"/>
        </w:rPr>
        <w:t>Source:  U.S. Bureau of Labor Statistics</w:t>
      </w:r>
      <w:r w:rsidR="00034124">
        <w:rPr>
          <w:rFonts w:cstheme="minorHAnsi"/>
        </w:rPr>
        <w:t>; author’s forecasts; not seasonally-adjusted.</w:t>
      </w:r>
    </w:p>
    <w:p w:rsidR="001C5211" w:rsidRPr="001C5211" w:rsidRDefault="001C5211" w:rsidP="001D4BA4">
      <w:pPr>
        <w:spacing w:line="240" w:lineRule="auto"/>
        <w:rPr>
          <w:rFonts w:ascii="Times New Roman" w:hAnsi="Times New Roman" w:cs="Times New Roman"/>
          <w:sz w:val="24"/>
          <w:szCs w:val="24"/>
        </w:rPr>
      </w:pPr>
    </w:p>
    <w:sectPr w:rsidR="001C5211" w:rsidRPr="001C521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07" w:rsidRDefault="00FB3807" w:rsidP="00584469">
      <w:pPr>
        <w:spacing w:after="0" w:line="240" w:lineRule="auto"/>
      </w:pPr>
      <w:r>
        <w:separator/>
      </w:r>
    </w:p>
  </w:endnote>
  <w:endnote w:type="continuationSeparator" w:id="0">
    <w:p w:rsidR="00FB3807" w:rsidRDefault="00FB3807" w:rsidP="0058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36578"/>
      <w:docPartObj>
        <w:docPartGallery w:val="Page Numbers (Bottom of Page)"/>
        <w:docPartUnique/>
      </w:docPartObj>
    </w:sdtPr>
    <w:sdtEndPr>
      <w:rPr>
        <w:noProof/>
      </w:rPr>
    </w:sdtEndPr>
    <w:sdtContent>
      <w:p w:rsidR="00D418E5" w:rsidRDefault="00D418E5">
        <w:pPr>
          <w:pStyle w:val="Footer"/>
          <w:jc w:val="right"/>
        </w:pPr>
        <w:r>
          <w:fldChar w:fldCharType="begin"/>
        </w:r>
        <w:r>
          <w:instrText xml:space="preserve"> PAGE   \* MERGEFORMAT </w:instrText>
        </w:r>
        <w:r>
          <w:fldChar w:fldCharType="separate"/>
        </w:r>
        <w:r w:rsidR="00E52DFB">
          <w:rPr>
            <w:noProof/>
          </w:rPr>
          <w:t>1</w:t>
        </w:r>
        <w:r>
          <w:rPr>
            <w:noProof/>
          </w:rPr>
          <w:fldChar w:fldCharType="end"/>
        </w:r>
      </w:p>
    </w:sdtContent>
  </w:sdt>
  <w:p w:rsidR="00D418E5" w:rsidRDefault="00D4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07" w:rsidRDefault="00FB3807" w:rsidP="00584469">
      <w:pPr>
        <w:spacing w:after="0" w:line="240" w:lineRule="auto"/>
      </w:pPr>
      <w:r>
        <w:separator/>
      </w:r>
    </w:p>
  </w:footnote>
  <w:footnote w:type="continuationSeparator" w:id="0">
    <w:p w:rsidR="00FB3807" w:rsidRDefault="00FB3807" w:rsidP="00584469">
      <w:pPr>
        <w:spacing w:after="0" w:line="240" w:lineRule="auto"/>
      </w:pPr>
      <w:r>
        <w:continuationSeparator/>
      </w:r>
    </w:p>
  </w:footnote>
  <w:footnote w:id="1">
    <w:p w:rsidR="00D418E5" w:rsidRDefault="00D418E5">
      <w:pPr>
        <w:pStyle w:val="FootnoteText"/>
      </w:pPr>
      <w:r>
        <w:rPr>
          <w:rStyle w:val="FootnoteReference"/>
        </w:rPr>
        <w:footnoteRef/>
      </w:r>
      <w:r>
        <w:t xml:space="preserve"> The U.S. Department of Commerce’s definition of Southeast is used and includes Alabama, Arkansas, Florida, Georgia, Kentucky Louisiana, Mississippi, North Carolina, South Carolina, Tennessee, West Virginia, and Virginia.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CCD"/>
    <w:multiLevelType w:val="hybridMultilevel"/>
    <w:tmpl w:val="6B5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922D0"/>
    <w:multiLevelType w:val="hybridMultilevel"/>
    <w:tmpl w:val="A46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06DF6"/>
    <w:multiLevelType w:val="hybridMultilevel"/>
    <w:tmpl w:val="44EA1AA4"/>
    <w:lvl w:ilvl="0" w:tplc="9524082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80"/>
    <w:rsid w:val="0000213C"/>
    <w:rsid w:val="00011347"/>
    <w:rsid w:val="00013564"/>
    <w:rsid w:val="0002430A"/>
    <w:rsid w:val="00034124"/>
    <w:rsid w:val="000341A3"/>
    <w:rsid w:val="00034A84"/>
    <w:rsid w:val="00041CCC"/>
    <w:rsid w:val="000433FC"/>
    <w:rsid w:val="00050814"/>
    <w:rsid w:val="0008123C"/>
    <w:rsid w:val="000869A0"/>
    <w:rsid w:val="0009186D"/>
    <w:rsid w:val="00093353"/>
    <w:rsid w:val="000B4C19"/>
    <w:rsid w:val="000B6A72"/>
    <w:rsid w:val="000C384D"/>
    <w:rsid w:val="000D461C"/>
    <w:rsid w:val="000D5532"/>
    <w:rsid w:val="001022D3"/>
    <w:rsid w:val="00103B12"/>
    <w:rsid w:val="001117E1"/>
    <w:rsid w:val="00121837"/>
    <w:rsid w:val="0012229F"/>
    <w:rsid w:val="00131F42"/>
    <w:rsid w:val="00134059"/>
    <w:rsid w:val="00137457"/>
    <w:rsid w:val="00174D1B"/>
    <w:rsid w:val="001849AD"/>
    <w:rsid w:val="001870EB"/>
    <w:rsid w:val="001877B6"/>
    <w:rsid w:val="00190EAF"/>
    <w:rsid w:val="00194D2D"/>
    <w:rsid w:val="001A1B95"/>
    <w:rsid w:val="001B2CED"/>
    <w:rsid w:val="001B50A6"/>
    <w:rsid w:val="001C31DD"/>
    <w:rsid w:val="001C5211"/>
    <w:rsid w:val="001D4BA4"/>
    <w:rsid w:val="001D70AA"/>
    <w:rsid w:val="001E3F84"/>
    <w:rsid w:val="001E668B"/>
    <w:rsid w:val="001F6F2E"/>
    <w:rsid w:val="00206E11"/>
    <w:rsid w:val="00223D52"/>
    <w:rsid w:val="002335BD"/>
    <w:rsid w:val="002360D1"/>
    <w:rsid w:val="002421E2"/>
    <w:rsid w:val="00243B95"/>
    <w:rsid w:val="00243C13"/>
    <w:rsid w:val="00247FD4"/>
    <w:rsid w:val="00267170"/>
    <w:rsid w:val="002678C2"/>
    <w:rsid w:val="00267957"/>
    <w:rsid w:val="00273F5E"/>
    <w:rsid w:val="0027625F"/>
    <w:rsid w:val="00281B65"/>
    <w:rsid w:val="002845F3"/>
    <w:rsid w:val="00293467"/>
    <w:rsid w:val="002C585C"/>
    <w:rsid w:val="002D000D"/>
    <w:rsid w:val="002D6A4C"/>
    <w:rsid w:val="002E1C0E"/>
    <w:rsid w:val="002E5349"/>
    <w:rsid w:val="002E6CF1"/>
    <w:rsid w:val="0030225E"/>
    <w:rsid w:val="00302FE0"/>
    <w:rsid w:val="00310109"/>
    <w:rsid w:val="00320CFA"/>
    <w:rsid w:val="003222C1"/>
    <w:rsid w:val="00330AD0"/>
    <w:rsid w:val="00333120"/>
    <w:rsid w:val="0034011B"/>
    <w:rsid w:val="003416A5"/>
    <w:rsid w:val="00341D5D"/>
    <w:rsid w:val="0034772D"/>
    <w:rsid w:val="0034780A"/>
    <w:rsid w:val="00347AC9"/>
    <w:rsid w:val="00354A3B"/>
    <w:rsid w:val="00354BD5"/>
    <w:rsid w:val="00356255"/>
    <w:rsid w:val="0035791F"/>
    <w:rsid w:val="00364E3D"/>
    <w:rsid w:val="0039584E"/>
    <w:rsid w:val="00396969"/>
    <w:rsid w:val="003A2893"/>
    <w:rsid w:val="003A34D1"/>
    <w:rsid w:val="003A5116"/>
    <w:rsid w:val="003A7421"/>
    <w:rsid w:val="003A7D6B"/>
    <w:rsid w:val="003B1224"/>
    <w:rsid w:val="003B6AFA"/>
    <w:rsid w:val="003C2B01"/>
    <w:rsid w:val="003C665C"/>
    <w:rsid w:val="003E5624"/>
    <w:rsid w:val="003E64C0"/>
    <w:rsid w:val="00404F98"/>
    <w:rsid w:val="0040728E"/>
    <w:rsid w:val="004073F8"/>
    <w:rsid w:val="00413F9A"/>
    <w:rsid w:val="00433196"/>
    <w:rsid w:val="00455F77"/>
    <w:rsid w:val="0047193B"/>
    <w:rsid w:val="004757FA"/>
    <w:rsid w:val="004773C6"/>
    <w:rsid w:val="00481E30"/>
    <w:rsid w:val="00483DCA"/>
    <w:rsid w:val="00490A9A"/>
    <w:rsid w:val="00493B15"/>
    <w:rsid w:val="004A0F8C"/>
    <w:rsid w:val="004A2CA9"/>
    <w:rsid w:val="004A4AA9"/>
    <w:rsid w:val="004D7C5E"/>
    <w:rsid w:val="004E2D91"/>
    <w:rsid w:val="00505DD9"/>
    <w:rsid w:val="00541E89"/>
    <w:rsid w:val="005455F8"/>
    <w:rsid w:val="00551FCE"/>
    <w:rsid w:val="0055358B"/>
    <w:rsid w:val="00561377"/>
    <w:rsid w:val="00571D7C"/>
    <w:rsid w:val="00581F7D"/>
    <w:rsid w:val="005836DB"/>
    <w:rsid w:val="00584469"/>
    <w:rsid w:val="005939A3"/>
    <w:rsid w:val="005942A0"/>
    <w:rsid w:val="00596D05"/>
    <w:rsid w:val="005A55E6"/>
    <w:rsid w:val="005B71C3"/>
    <w:rsid w:val="0060778A"/>
    <w:rsid w:val="006213E3"/>
    <w:rsid w:val="00625CEA"/>
    <w:rsid w:val="006269D4"/>
    <w:rsid w:val="006366EA"/>
    <w:rsid w:val="006409AA"/>
    <w:rsid w:val="0065158F"/>
    <w:rsid w:val="0066264D"/>
    <w:rsid w:val="00676F67"/>
    <w:rsid w:val="0068615D"/>
    <w:rsid w:val="006B7BA7"/>
    <w:rsid w:val="006C3CC2"/>
    <w:rsid w:val="006C3CD7"/>
    <w:rsid w:val="006E1E07"/>
    <w:rsid w:val="006E32FD"/>
    <w:rsid w:val="006F4661"/>
    <w:rsid w:val="006F71D2"/>
    <w:rsid w:val="00702F10"/>
    <w:rsid w:val="00724AD0"/>
    <w:rsid w:val="007255AD"/>
    <w:rsid w:val="0074228A"/>
    <w:rsid w:val="00745C0D"/>
    <w:rsid w:val="00745F06"/>
    <w:rsid w:val="007478CE"/>
    <w:rsid w:val="00754756"/>
    <w:rsid w:val="00762D6B"/>
    <w:rsid w:val="00773602"/>
    <w:rsid w:val="00780024"/>
    <w:rsid w:val="0078215C"/>
    <w:rsid w:val="00792A1B"/>
    <w:rsid w:val="00797F98"/>
    <w:rsid w:val="007A0746"/>
    <w:rsid w:val="007A1367"/>
    <w:rsid w:val="007A7339"/>
    <w:rsid w:val="007D29E2"/>
    <w:rsid w:val="007D3A54"/>
    <w:rsid w:val="007E423A"/>
    <w:rsid w:val="007F0E45"/>
    <w:rsid w:val="00800494"/>
    <w:rsid w:val="00835C10"/>
    <w:rsid w:val="00843089"/>
    <w:rsid w:val="00845154"/>
    <w:rsid w:val="00847834"/>
    <w:rsid w:val="0085709B"/>
    <w:rsid w:val="00886136"/>
    <w:rsid w:val="00887718"/>
    <w:rsid w:val="008917F2"/>
    <w:rsid w:val="008A190D"/>
    <w:rsid w:val="008A2E46"/>
    <w:rsid w:val="008A302C"/>
    <w:rsid w:val="008A4F07"/>
    <w:rsid w:val="008A69DA"/>
    <w:rsid w:val="008F0A1F"/>
    <w:rsid w:val="008F18B9"/>
    <w:rsid w:val="008F48AE"/>
    <w:rsid w:val="0090336B"/>
    <w:rsid w:val="00914251"/>
    <w:rsid w:val="00942428"/>
    <w:rsid w:val="00952C25"/>
    <w:rsid w:val="009704DB"/>
    <w:rsid w:val="00980AF3"/>
    <w:rsid w:val="00983B62"/>
    <w:rsid w:val="009A5A08"/>
    <w:rsid w:val="009B4ED1"/>
    <w:rsid w:val="009C445B"/>
    <w:rsid w:val="009E0F34"/>
    <w:rsid w:val="009F20AF"/>
    <w:rsid w:val="00A01F2C"/>
    <w:rsid w:val="00A02DE8"/>
    <w:rsid w:val="00A07B20"/>
    <w:rsid w:val="00A20965"/>
    <w:rsid w:val="00A254E1"/>
    <w:rsid w:val="00A310EF"/>
    <w:rsid w:val="00A31D49"/>
    <w:rsid w:val="00A357EC"/>
    <w:rsid w:val="00A44E11"/>
    <w:rsid w:val="00A66D7D"/>
    <w:rsid w:val="00A703E9"/>
    <w:rsid w:val="00A816A6"/>
    <w:rsid w:val="00A944E1"/>
    <w:rsid w:val="00A9461B"/>
    <w:rsid w:val="00AA6D4F"/>
    <w:rsid w:val="00AC076D"/>
    <w:rsid w:val="00AC2360"/>
    <w:rsid w:val="00AC5F65"/>
    <w:rsid w:val="00AC78E6"/>
    <w:rsid w:val="00AC7F92"/>
    <w:rsid w:val="00AE11C4"/>
    <w:rsid w:val="00AE175D"/>
    <w:rsid w:val="00AF0BEF"/>
    <w:rsid w:val="00AF23F5"/>
    <w:rsid w:val="00B0627B"/>
    <w:rsid w:val="00B11105"/>
    <w:rsid w:val="00B1603E"/>
    <w:rsid w:val="00B30BD1"/>
    <w:rsid w:val="00B452D7"/>
    <w:rsid w:val="00B4751C"/>
    <w:rsid w:val="00B51ED6"/>
    <w:rsid w:val="00B605C5"/>
    <w:rsid w:val="00B661FB"/>
    <w:rsid w:val="00B759FA"/>
    <w:rsid w:val="00B834FA"/>
    <w:rsid w:val="00B90C41"/>
    <w:rsid w:val="00B9281D"/>
    <w:rsid w:val="00B941C4"/>
    <w:rsid w:val="00BA1069"/>
    <w:rsid w:val="00BA3BF9"/>
    <w:rsid w:val="00BA4067"/>
    <w:rsid w:val="00BA708E"/>
    <w:rsid w:val="00BB3154"/>
    <w:rsid w:val="00BC4F16"/>
    <w:rsid w:val="00BC629C"/>
    <w:rsid w:val="00BC63B5"/>
    <w:rsid w:val="00BF0380"/>
    <w:rsid w:val="00BF13E3"/>
    <w:rsid w:val="00BF7DD2"/>
    <w:rsid w:val="00C16CA3"/>
    <w:rsid w:val="00C45502"/>
    <w:rsid w:val="00C66B9F"/>
    <w:rsid w:val="00C7400F"/>
    <w:rsid w:val="00C8630F"/>
    <w:rsid w:val="00CA6F7E"/>
    <w:rsid w:val="00CB0F94"/>
    <w:rsid w:val="00CB3587"/>
    <w:rsid w:val="00CE21FB"/>
    <w:rsid w:val="00CF5489"/>
    <w:rsid w:val="00CF5C9B"/>
    <w:rsid w:val="00CF5FC3"/>
    <w:rsid w:val="00D04478"/>
    <w:rsid w:val="00D0510C"/>
    <w:rsid w:val="00D150B3"/>
    <w:rsid w:val="00D1798A"/>
    <w:rsid w:val="00D20715"/>
    <w:rsid w:val="00D20A50"/>
    <w:rsid w:val="00D27261"/>
    <w:rsid w:val="00D32A28"/>
    <w:rsid w:val="00D33CCA"/>
    <w:rsid w:val="00D418E5"/>
    <w:rsid w:val="00D4592E"/>
    <w:rsid w:val="00D608B6"/>
    <w:rsid w:val="00D64CEF"/>
    <w:rsid w:val="00D810C3"/>
    <w:rsid w:val="00D978DF"/>
    <w:rsid w:val="00DB03E7"/>
    <w:rsid w:val="00DB129A"/>
    <w:rsid w:val="00DB57E0"/>
    <w:rsid w:val="00DC34FA"/>
    <w:rsid w:val="00DD0853"/>
    <w:rsid w:val="00DE0921"/>
    <w:rsid w:val="00DE0B10"/>
    <w:rsid w:val="00DE11C9"/>
    <w:rsid w:val="00DE404F"/>
    <w:rsid w:val="00DE4FA4"/>
    <w:rsid w:val="00E040DB"/>
    <w:rsid w:val="00E07E51"/>
    <w:rsid w:val="00E1335A"/>
    <w:rsid w:val="00E13AEB"/>
    <w:rsid w:val="00E1490A"/>
    <w:rsid w:val="00E21696"/>
    <w:rsid w:val="00E2208D"/>
    <w:rsid w:val="00E2345B"/>
    <w:rsid w:val="00E3233D"/>
    <w:rsid w:val="00E3555F"/>
    <w:rsid w:val="00E52DFB"/>
    <w:rsid w:val="00E72234"/>
    <w:rsid w:val="00E72D55"/>
    <w:rsid w:val="00E861F9"/>
    <w:rsid w:val="00EA2AB4"/>
    <w:rsid w:val="00EC0065"/>
    <w:rsid w:val="00EC52AF"/>
    <w:rsid w:val="00ED68E9"/>
    <w:rsid w:val="00EF384C"/>
    <w:rsid w:val="00F01BD7"/>
    <w:rsid w:val="00F05213"/>
    <w:rsid w:val="00F24D26"/>
    <w:rsid w:val="00F33229"/>
    <w:rsid w:val="00F429BB"/>
    <w:rsid w:val="00F523E5"/>
    <w:rsid w:val="00F7096B"/>
    <w:rsid w:val="00F80A0D"/>
    <w:rsid w:val="00F94EA6"/>
    <w:rsid w:val="00FA1A14"/>
    <w:rsid w:val="00FA77C8"/>
    <w:rsid w:val="00FB3403"/>
    <w:rsid w:val="00FB3807"/>
    <w:rsid w:val="00FB50E9"/>
    <w:rsid w:val="00FC7E9D"/>
    <w:rsid w:val="00FD1648"/>
    <w:rsid w:val="00FD2C9C"/>
    <w:rsid w:val="00FD305C"/>
    <w:rsid w:val="00FD4556"/>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7901E-5A1F-452F-8802-07F9C68B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14"/>
  </w:style>
  <w:style w:type="paragraph" w:styleId="Heading1">
    <w:name w:val="heading 1"/>
    <w:basedOn w:val="Normal"/>
    <w:next w:val="Normal"/>
    <w:link w:val="Heading1Char"/>
    <w:uiPriority w:val="9"/>
    <w:qFormat/>
    <w:rsid w:val="00FA1A1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A1A1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A1A1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A1A1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A1A1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A1A1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A1A1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A1A1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A1A1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80"/>
    <w:rPr>
      <w:color w:val="0000FF"/>
      <w:u w:val="single"/>
    </w:rPr>
  </w:style>
  <w:style w:type="paragraph" w:styleId="ListParagraph">
    <w:name w:val="List Paragraph"/>
    <w:basedOn w:val="Normal"/>
    <w:uiPriority w:val="34"/>
    <w:qFormat/>
    <w:rsid w:val="00FA1A14"/>
    <w:pPr>
      <w:ind w:left="720"/>
      <w:contextualSpacing/>
    </w:pPr>
  </w:style>
  <w:style w:type="paragraph" w:styleId="FootnoteText">
    <w:name w:val="footnote text"/>
    <w:basedOn w:val="Normal"/>
    <w:link w:val="FootnoteTextChar"/>
    <w:uiPriority w:val="99"/>
    <w:semiHidden/>
    <w:unhideWhenUsed/>
    <w:rsid w:val="00584469"/>
    <w:pPr>
      <w:spacing w:after="0" w:line="240" w:lineRule="auto"/>
    </w:pPr>
  </w:style>
  <w:style w:type="character" w:customStyle="1" w:styleId="FootnoteTextChar">
    <w:name w:val="Footnote Text Char"/>
    <w:basedOn w:val="DefaultParagraphFont"/>
    <w:link w:val="FootnoteText"/>
    <w:uiPriority w:val="99"/>
    <w:semiHidden/>
    <w:rsid w:val="00584469"/>
    <w:rPr>
      <w:sz w:val="20"/>
      <w:szCs w:val="20"/>
    </w:rPr>
  </w:style>
  <w:style w:type="character" w:styleId="FootnoteReference">
    <w:name w:val="footnote reference"/>
    <w:basedOn w:val="DefaultParagraphFont"/>
    <w:uiPriority w:val="99"/>
    <w:semiHidden/>
    <w:unhideWhenUsed/>
    <w:rsid w:val="00584469"/>
    <w:rPr>
      <w:vertAlign w:val="superscript"/>
    </w:rPr>
  </w:style>
  <w:style w:type="paragraph" w:styleId="Header">
    <w:name w:val="header"/>
    <w:basedOn w:val="Normal"/>
    <w:link w:val="HeaderChar"/>
    <w:uiPriority w:val="99"/>
    <w:unhideWhenUsed/>
    <w:rsid w:val="00584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69"/>
  </w:style>
  <w:style w:type="paragraph" w:styleId="Footer">
    <w:name w:val="footer"/>
    <w:basedOn w:val="Normal"/>
    <w:link w:val="FooterChar"/>
    <w:uiPriority w:val="99"/>
    <w:unhideWhenUsed/>
    <w:rsid w:val="00584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69"/>
  </w:style>
  <w:style w:type="paragraph" w:styleId="BalloonText">
    <w:name w:val="Balloon Text"/>
    <w:basedOn w:val="Normal"/>
    <w:link w:val="BalloonTextChar"/>
    <w:uiPriority w:val="99"/>
    <w:semiHidden/>
    <w:unhideWhenUsed/>
    <w:rsid w:val="00D64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EF"/>
    <w:rPr>
      <w:rFonts w:ascii="Segoe UI" w:hAnsi="Segoe UI" w:cs="Segoe UI"/>
      <w:sz w:val="18"/>
      <w:szCs w:val="18"/>
    </w:rPr>
  </w:style>
  <w:style w:type="table" w:styleId="TableGrid">
    <w:name w:val="Table Grid"/>
    <w:basedOn w:val="TableNormal"/>
    <w:uiPriority w:val="39"/>
    <w:rsid w:val="0032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1A14"/>
    <w:rPr>
      <w:smallCaps/>
      <w:spacing w:val="5"/>
      <w:sz w:val="32"/>
      <w:szCs w:val="32"/>
    </w:rPr>
  </w:style>
  <w:style w:type="character" w:customStyle="1" w:styleId="Heading2Char">
    <w:name w:val="Heading 2 Char"/>
    <w:basedOn w:val="DefaultParagraphFont"/>
    <w:link w:val="Heading2"/>
    <w:uiPriority w:val="9"/>
    <w:semiHidden/>
    <w:rsid w:val="00FA1A14"/>
    <w:rPr>
      <w:smallCaps/>
      <w:spacing w:val="5"/>
      <w:sz w:val="28"/>
      <w:szCs w:val="28"/>
    </w:rPr>
  </w:style>
  <w:style w:type="character" w:customStyle="1" w:styleId="Heading3Char">
    <w:name w:val="Heading 3 Char"/>
    <w:basedOn w:val="DefaultParagraphFont"/>
    <w:link w:val="Heading3"/>
    <w:uiPriority w:val="9"/>
    <w:semiHidden/>
    <w:rsid w:val="00FA1A14"/>
    <w:rPr>
      <w:smallCaps/>
      <w:spacing w:val="5"/>
      <w:sz w:val="24"/>
      <w:szCs w:val="24"/>
    </w:rPr>
  </w:style>
  <w:style w:type="character" w:customStyle="1" w:styleId="Heading4Char">
    <w:name w:val="Heading 4 Char"/>
    <w:basedOn w:val="DefaultParagraphFont"/>
    <w:link w:val="Heading4"/>
    <w:uiPriority w:val="9"/>
    <w:semiHidden/>
    <w:rsid w:val="00FA1A14"/>
    <w:rPr>
      <w:smallCaps/>
      <w:spacing w:val="10"/>
      <w:sz w:val="22"/>
      <w:szCs w:val="22"/>
    </w:rPr>
  </w:style>
  <w:style w:type="character" w:customStyle="1" w:styleId="Heading5Char">
    <w:name w:val="Heading 5 Char"/>
    <w:basedOn w:val="DefaultParagraphFont"/>
    <w:link w:val="Heading5"/>
    <w:uiPriority w:val="9"/>
    <w:semiHidden/>
    <w:rsid w:val="00FA1A1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A1A14"/>
    <w:rPr>
      <w:smallCaps/>
      <w:color w:val="ED7D31" w:themeColor="accent2"/>
      <w:spacing w:val="5"/>
      <w:sz w:val="22"/>
    </w:rPr>
  </w:style>
  <w:style w:type="character" w:customStyle="1" w:styleId="Heading7Char">
    <w:name w:val="Heading 7 Char"/>
    <w:basedOn w:val="DefaultParagraphFont"/>
    <w:link w:val="Heading7"/>
    <w:uiPriority w:val="9"/>
    <w:semiHidden/>
    <w:rsid w:val="00FA1A14"/>
    <w:rPr>
      <w:b/>
      <w:smallCaps/>
      <w:color w:val="ED7D31" w:themeColor="accent2"/>
      <w:spacing w:val="10"/>
    </w:rPr>
  </w:style>
  <w:style w:type="character" w:customStyle="1" w:styleId="Heading8Char">
    <w:name w:val="Heading 8 Char"/>
    <w:basedOn w:val="DefaultParagraphFont"/>
    <w:link w:val="Heading8"/>
    <w:uiPriority w:val="9"/>
    <w:semiHidden/>
    <w:rsid w:val="00FA1A14"/>
    <w:rPr>
      <w:b/>
      <w:i/>
      <w:smallCaps/>
      <w:color w:val="C45911" w:themeColor="accent2" w:themeShade="BF"/>
    </w:rPr>
  </w:style>
  <w:style w:type="character" w:customStyle="1" w:styleId="Heading9Char">
    <w:name w:val="Heading 9 Char"/>
    <w:basedOn w:val="DefaultParagraphFont"/>
    <w:link w:val="Heading9"/>
    <w:uiPriority w:val="9"/>
    <w:semiHidden/>
    <w:rsid w:val="00FA1A14"/>
    <w:rPr>
      <w:b/>
      <w:i/>
      <w:smallCaps/>
      <w:color w:val="823B0B" w:themeColor="accent2" w:themeShade="7F"/>
    </w:rPr>
  </w:style>
  <w:style w:type="paragraph" w:styleId="Caption">
    <w:name w:val="caption"/>
    <w:basedOn w:val="Normal"/>
    <w:next w:val="Normal"/>
    <w:uiPriority w:val="35"/>
    <w:semiHidden/>
    <w:unhideWhenUsed/>
    <w:qFormat/>
    <w:rsid w:val="00FA1A14"/>
    <w:rPr>
      <w:b/>
      <w:bCs/>
      <w:caps/>
      <w:sz w:val="16"/>
      <w:szCs w:val="18"/>
    </w:rPr>
  </w:style>
  <w:style w:type="paragraph" w:styleId="Title">
    <w:name w:val="Title"/>
    <w:basedOn w:val="Normal"/>
    <w:next w:val="Normal"/>
    <w:link w:val="TitleChar"/>
    <w:uiPriority w:val="10"/>
    <w:qFormat/>
    <w:rsid w:val="00FA1A1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A1A14"/>
    <w:rPr>
      <w:smallCaps/>
      <w:sz w:val="48"/>
      <w:szCs w:val="48"/>
    </w:rPr>
  </w:style>
  <w:style w:type="paragraph" w:styleId="Subtitle">
    <w:name w:val="Subtitle"/>
    <w:basedOn w:val="Normal"/>
    <w:next w:val="Normal"/>
    <w:link w:val="SubtitleChar"/>
    <w:uiPriority w:val="11"/>
    <w:qFormat/>
    <w:rsid w:val="00FA1A1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A1A14"/>
    <w:rPr>
      <w:rFonts w:asciiTheme="majorHAnsi" w:eastAsiaTheme="majorEastAsia" w:hAnsiTheme="majorHAnsi" w:cstheme="majorBidi"/>
      <w:szCs w:val="22"/>
    </w:rPr>
  </w:style>
  <w:style w:type="character" w:styleId="Strong">
    <w:name w:val="Strong"/>
    <w:uiPriority w:val="22"/>
    <w:qFormat/>
    <w:rsid w:val="00FA1A14"/>
    <w:rPr>
      <w:b/>
      <w:color w:val="ED7D31" w:themeColor="accent2"/>
    </w:rPr>
  </w:style>
  <w:style w:type="character" w:styleId="Emphasis">
    <w:name w:val="Emphasis"/>
    <w:uiPriority w:val="20"/>
    <w:qFormat/>
    <w:rsid w:val="00FA1A14"/>
    <w:rPr>
      <w:b/>
      <w:i/>
      <w:spacing w:val="10"/>
    </w:rPr>
  </w:style>
  <w:style w:type="paragraph" w:styleId="NoSpacing">
    <w:name w:val="No Spacing"/>
    <w:basedOn w:val="Normal"/>
    <w:link w:val="NoSpacingChar"/>
    <w:uiPriority w:val="1"/>
    <w:qFormat/>
    <w:rsid w:val="00FA1A14"/>
    <w:pPr>
      <w:spacing w:after="0" w:line="240" w:lineRule="auto"/>
    </w:pPr>
  </w:style>
  <w:style w:type="paragraph" w:styleId="Quote">
    <w:name w:val="Quote"/>
    <w:basedOn w:val="Normal"/>
    <w:next w:val="Normal"/>
    <w:link w:val="QuoteChar"/>
    <w:uiPriority w:val="29"/>
    <w:qFormat/>
    <w:rsid w:val="00FA1A14"/>
    <w:rPr>
      <w:i/>
    </w:rPr>
  </w:style>
  <w:style w:type="character" w:customStyle="1" w:styleId="QuoteChar">
    <w:name w:val="Quote Char"/>
    <w:basedOn w:val="DefaultParagraphFont"/>
    <w:link w:val="Quote"/>
    <w:uiPriority w:val="29"/>
    <w:rsid w:val="00FA1A14"/>
    <w:rPr>
      <w:i/>
    </w:rPr>
  </w:style>
  <w:style w:type="paragraph" w:styleId="IntenseQuote">
    <w:name w:val="Intense Quote"/>
    <w:basedOn w:val="Normal"/>
    <w:next w:val="Normal"/>
    <w:link w:val="IntenseQuoteChar"/>
    <w:uiPriority w:val="30"/>
    <w:qFormat/>
    <w:rsid w:val="00FA1A1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A1A14"/>
    <w:rPr>
      <w:b/>
      <w:i/>
      <w:color w:val="FFFFFF" w:themeColor="background1"/>
      <w:shd w:val="clear" w:color="auto" w:fill="ED7D31" w:themeFill="accent2"/>
    </w:rPr>
  </w:style>
  <w:style w:type="character" w:styleId="SubtleEmphasis">
    <w:name w:val="Subtle Emphasis"/>
    <w:uiPriority w:val="19"/>
    <w:qFormat/>
    <w:rsid w:val="00FA1A14"/>
    <w:rPr>
      <w:i/>
    </w:rPr>
  </w:style>
  <w:style w:type="character" w:styleId="IntenseEmphasis">
    <w:name w:val="Intense Emphasis"/>
    <w:uiPriority w:val="21"/>
    <w:qFormat/>
    <w:rsid w:val="00FA1A14"/>
    <w:rPr>
      <w:b/>
      <w:i/>
      <w:color w:val="ED7D31" w:themeColor="accent2"/>
      <w:spacing w:val="10"/>
    </w:rPr>
  </w:style>
  <w:style w:type="character" w:styleId="SubtleReference">
    <w:name w:val="Subtle Reference"/>
    <w:uiPriority w:val="31"/>
    <w:qFormat/>
    <w:rsid w:val="00FA1A14"/>
    <w:rPr>
      <w:b/>
    </w:rPr>
  </w:style>
  <w:style w:type="character" w:styleId="IntenseReference">
    <w:name w:val="Intense Reference"/>
    <w:uiPriority w:val="32"/>
    <w:qFormat/>
    <w:rsid w:val="00FA1A14"/>
    <w:rPr>
      <w:b/>
      <w:bCs/>
      <w:smallCaps/>
      <w:spacing w:val="5"/>
      <w:sz w:val="22"/>
      <w:szCs w:val="22"/>
      <w:u w:val="single"/>
    </w:rPr>
  </w:style>
  <w:style w:type="character" w:styleId="BookTitle">
    <w:name w:val="Book Title"/>
    <w:uiPriority w:val="33"/>
    <w:qFormat/>
    <w:rsid w:val="00FA1A1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A1A14"/>
    <w:pPr>
      <w:outlineLvl w:val="9"/>
    </w:pPr>
  </w:style>
  <w:style w:type="character" w:customStyle="1" w:styleId="NoSpacingChar">
    <w:name w:val="No Spacing Char"/>
    <w:basedOn w:val="DefaultParagraphFont"/>
    <w:link w:val="NoSpacing"/>
    <w:uiPriority w:val="1"/>
    <w:rsid w:val="00FA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4235">
      <w:bodyDiv w:val="1"/>
      <w:marLeft w:val="0"/>
      <w:marRight w:val="0"/>
      <w:marTop w:val="0"/>
      <w:marBottom w:val="0"/>
      <w:divBdr>
        <w:top w:val="none" w:sz="0" w:space="0" w:color="auto"/>
        <w:left w:val="none" w:sz="0" w:space="0" w:color="auto"/>
        <w:bottom w:val="none" w:sz="0" w:space="0" w:color="auto"/>
        <w:right w:val="none" w:sz="0" w:space="0" w:color="auto"/>
      </w:divBdr>
      <w:divsChild>
        <w:div w:id="1143699407">
          <w:marLeft w:val="0"/>
          <w:marRight w:val="0"/>
          <w:marTop w:val="0"/>
          <w:marBottom w:val="0"/>
          <w:divBdr>
            <w:top w:val="none" w:sz="0" w:space="0" w:color="auto"/>
            <w:left w:val="none" w:sz="0" w:space="0" w:color="auto"/>
            <w:bottom w:val="none" w:sz="0" w:space="0" w:color="auto"/>
            <w:right w:val="none" w:sz="0" w:space="0" w:color="auto"/>
          </w:divBdr>
          <w:divsChild>
            <w:div w:id="3863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mailto:michael_walden@ncsu.ed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c:v>
                </c:pt>
              </c:strCache>
            </c:strRef>
          </c:tx>
          <c:spPr>
            <a:solidFill>
              <a:srgbClr val="FF0000"/>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1.1000000000000001</c:v>
                </c:pt>
                <c:pt idx="1">
                  <c:v>1.2</c:v>
                </c:pt>
                <c:pt idx="2">
                  <c:v>-0.3</c:v>
                </c:pt>
                <c:pt idx="3">
                  <c:v>1.7</c:v>
                </c:pt>
                <c:pt idx="4">
                  <c:v>2.1</c:v>
                </c:pt>
                <c:pt idx="5">
                  <c:v>2.8</c:v>
                </c:pt>
                <c:pt idx="6">
                  <c:v>1.2</c:v>
                </c:pt>
                <c:pt idx="7">
                  <c:v>2.2999999999999998</c:v>
                </c:pt>
                <c:pt idx="8">
                  <c:v>2.9</c:v>
                </c:pt>
                <c:pt idx="9">
                  <c:v>2.8</c:v>
                </c:pt>
              </c:numCache>
            </c:numRef>
          </c:val>
          <c:extLst>
            <c:ext xmlns:c16="http://schemas.microsoft.com/office/drawing/2014/chart" uri="{C3380CC4-5D6E-409C-BE32-E72D297353CC}">
              <c16:uniqueId val="{00000000-1B49-2E44-BDB5-DDB6EFFE384A}"/>
            </c:ext>
          </c:extLst>
        </c:ser>
        <c:ser>
          <c:idx val="1"/>
          <c:order val="1"/>
          <c:tx>
            <c:strRef>
              <c:f>Sheet1!$C$1</c:f>
              <c:strCache>
                <c:ptCount val="1"/>
                <c:pt idx="0">
                  <c:v>US</c:v>
                </c:pt>
              </c:strCache>
            </c:strRef>
          </c:tx>
          <c:spPr>
            <a:solidFill>
              <a:schemeClr val="tx2">
                <a:lumMod val="75000"/>
              </a:schemeClr>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2.2000000000000002</c:v>
                </c:pt>
                <c:pt idx="1">
                  <c:v>1.4</c:v>
                </c:pt>
                <c:pt idx="2">
                  <c:v>2</c:v>
                </c:pt>
                <c:pt idx="3">
                  <c:v>1.5</c:v>
                </c:pt>
                <c:pt idx="4">
                  <c:v>2.4</c:v>
                </c:pt>
                <c:pt idx="5">
                  <c:v>2.7</c:v>
                </c:pt>
                <c:pt idx="6">
                  <c:v>1.5</c:v>
                </c:pt>
                <c:pt idx="7">
                  <c:v>2.1</c:v>
                </c:pt>
                <c:pt idx="8">
                  <c:v>2.9</c:v>
                </c:pt>
                <c:pt idx="9">
                  <c:v>3.1</c:v>
                </c:pt>
              </c:numCache>
            </c:numRef>
          </c:val>
          <c:extLst>
            <c:ext xmlns:c16="http://schemas.microsoft.com/office/drawing/2014/chart" uri="{C3380CC4-5D6E-409C-BE32-E72D297353CC}">
              <c16:uniqueId val="{00000001-1B49-2E44-BDB5-DDB6EFFE384A}"/>
            </c:ext>
          </c:extLst>
        </c:ser>
        <c:ser>
          <c:idx val="2"/>
          <c:order val="2"/>
          <c:tx>
            <c:strRef>
              <c:f>Sheet1!$D$1</c:f>
              <c:strCache>
                <c:ptCount val="1"/>
                <c:pt idx="0">
                  <c:v>SE</c:v>
                </c:pt>
              </c:strCache>
            </c:strRef>
          </c:tx>
          <c:spPr>
            <a:solidFill>
              <a:srgbClr val="FFC000"/>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1.8</c:v>
                </c:pt>
                <c:pt idx="1">
                  <c:v>0.4</c:v>
                </c:pt>
                <c:pt idx="2">
                  <c:v>0.8</c:v>
                </c:pt>
                <c:pt idx="3">
                  <c:v>1.1000000000000001</c:v>
                </c:pt>
                <c:pt idx="4">
                  <c:v>1.8</c:v>
                </c:pt>
                <c:pt idx="5">
                  <c:v>2.6</c:v>
                </c:pt>
                <c:pt idx="6">
                  <c:v>1.8</c:v>
                </c:pt>
                <c:pt idx="7">
                  <c:v>2</c:v>
                </c:pt>
                <c:pt idx="8">
                  <c:v>2.6</c:v>
                </c:pt>
                <c:pt idx="9">
                  <c:v>2.9</c:v>
                </c:pt>
              </c:numCache>
            </c:numRef>
          </c:val>
          <c:extLst>
            <c:ext xmlns:c16="http://schemas.microsoft.com/office/drawing/2014/chart" uri="{C3380CC4-5D6E-409C-BE32-E72D297353CC}">
              <c16:uniqueId val="{00000002-1B49-2E44-BDB5-DDB6EFFE384A}"/>
            </c:ext>
          </c:extLst>
        </c:ser>
        <c:dLbls>
          <c:showLegendKey val="0"/>
          <c:showVal val="0"/>
          <c:showCatName val="0"/>
          <c:showSerName val="0"/>
          <c:showPercent val="0"/>
          <c:showBubbleSize val="0"/>
        </c:dLbls>
        <c:gapWidth val="219"/>
        <c:overlap val="-27"/>
        <c:axId val="451022680"/>
        <c:axId val="417584672"/>
      </c:barChart>
      <c:catAx>
        <c:axId val="45102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4672"/>
        <c:crosses val="autoZero"/>
        <c:auto val="1"/>
        <c:lblAlgn val="ctr"/>
        <c:lblOffset val="100"/>
        <c:noMultiLvlLbl val="0"/>
      </c:catAx>
      <c:valAx>
        <c:axId val="417584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02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D77B-9843-9D83-0FD31227CB7D}"/>
              </c:ext>
            </c:extLst>
          </c:dPt>
          <c:dPt>
            <c:idx val="1"/>
            <c:invertIfNegative val="0"/>
            <c:bubble3D val="0"/>
            <c:spPr>
              <a:solidFill>
                <a:srgbClr val="0070C0"/>
              </a:solidFill>
              <a:ln>
                <a:noFill/>
              </a:ln>
              <a:effectLst/>
            </c:spPr>
            <c:extLst>
              <c:ext xmlns:c16="http://schemas.microsoft.com/office/drawing/2014/chart" uri="{C3380CC4-5D6E-409C-BE32-E72D297353CC}">
                <c16:uniqueId val="{00000003-D77B-9843-9D83-0FD31227CB7D}"/>
              </c:ext>
            </c:extLst>
          </c:dPt>
          <c:dPt>
            <c:idx val="2"/>
            <c:invertIfNegative val="0"/>
            <c:bubble3D val="0"/>
            <c:spPr>
              <a:solidFill>
                <a:srgbClr val="0070C0"/>
              </a:solidFill>
              <a:ln>
                <a:noFill/>
              </a:ln>
              <a:effectLst/>
            </c:spPr>
            <c:extLst>
              <c:ext xmlns:c16="http://schemas.microsoft.com/office/drawing/2014/chart" uri="{C3380CC4-5D6E-409C-BE32-E72D297353CC}">
                <c16:uniqueId val="{00000005-D77B-9843-9D83-0FD31227CB7D}"/>
              </c:ext>
            </c:extLst>
          </c:dPt>
          <c:dPt>
            <c:idx val="3"/>
            <c:invertIfNegative val="0"/>
            <c:bubble3D val="0"/>
            <c:spPr>
              <a:solidFill>
                <a:srgbClr val="0070C0"/>
              </a:solidFill>
              <a:ln>
                <a:noFill/>
              </a:ln>
              <a:effectLst/>
            </c:spPr>
            <c:extLst>
              <c:ext xmlns:c16="http://schemas.microsoft.com/office/drawing/2014/chart" uri="{C3380CC4-5D6E-409C-BE32-E72D297353CC}">
                <c16:uniqueId val="{00000007-D77B-9843-9D83-0FD31227CB7D}"/>
              </c:ext>
            </c:extLst>
          </c:dPt>
          <c:dPt>
            <c:idx val="4"/>
            <c:invertIfNegative val="0"/>
            <c:bubble3D val="0"/>
            <c:spPr>
              <a:solidFill>
                <a:srgbClr val="0070C0"/>
              </a:solidFill>
              <a:ln>
                <a:noFill/>
              </a:ln>
              <a:effectLst/>
            </c:spPr>
            <c:extLst>
              <c:ext xmlns:c16="http://schemas.microsoft.com/office/drawing/2014/chart" uri="{C3380CC4-5D6E-409C-BE32-E72D297353CC}">
                <c16:uniqueId val="{00000009-D77B-9843-9D83-0FD31227CB7D}"/>
              </c:ext>
            </c:extLst>
          </c:dPt>
          <c:dPt>
            <c:idx val="5"/>
            <c:invertIfNegative val="0"/>
            <c:bubble3D val="0"/>
            <c:spPr>
              <a:solidFill>
                <a:srgbClr val="0070C0"/>
              </a:solidFill>
              <a:ln>
                <a:noFill/>
              </a:ln>
              <a:effectLst/>
            </c:spPr>
            <c:extLst>
              <c:ext xmlns:c16="http://schemas.microsoft.com/office/drawing/2014/chart" uri="{C3380CC4-5D6E-409C-BE32-E72D297353CC}">
                <c16:uniqueId val="{0000000B-D77B-9843-9D83-0FD31227CB7D}"/>
              </c:ext>
            </c:extLst>
          </c:dPt>
          <c:dPt>
            <c:idx val="6"/>
            <c:invertIfNegative val="0"/>
            <c:bubble3D val="0"/>
            <c:spPr>
              <a:solidFill>
                <a:srgbClr val="0070C0"/>
              </a:solidFill>
              <a:ln>
                <a:noFill/>
              </a:ln>
              <a:effectLst/>
            </c:spPr>
            <c:extLst>
              <c:ext xmlns:c16="http://schemas.microsoft.com/office/drawing/2014/chart" uri="{C3380CC4-5D6E-409C-BE32-E72D297353CC}">
                <c16:uniqueId val="{0000000D-D77B-9843-9D83-0FD31227CB7D}"/>
              </c:ext>
            </c:extLst>
          </c:dPt>
          <c:dPt>
            <c:idx val="7"/>
            <c:invertIfNegative val="0"/>
            <c:bubble3D val="0"/>
            <c:spPr>
              <a:solidFill>
                <a:srgbClr val="0070C0"/>
              </a:solidFill>
              <a:ln>
                <a:noFill/>
              </a:ln>
              <a:effectLst/>
            </c:spPr>
            <c:extLst>
              <c:ext xmlns:c16="http://schemas.microsoft.com/office/drawing/2014/chart" uri="{C3380CC4-5D6E-409C-BE32-E72D297353CC}">
                <c16:uniqueId val="{0000000F-D77B-9843-9D83-0FD31227CB7D}"/>
              </c:ext>
            </c:extLst>
          </c:dPt>
          <c:dPt>
            <c:idx val="8"/>
            <c:invertIfNegative val="0"/>
            <c:bubble3D val="0"/>
            <c:spPr>
              <a:solidFill>
                <a:srgbClr val="0070C0"/>
              </a:solidFill>
              <a:ln>
                <a:noFill/>
              </a:ln>
              <a:effectLst/>
            </c:spPr>
            <c:extLst>
              <c:ext xmlns:c16="http://schemas.microsoft.com/office/drawing/2014/chart" uri="{C3380CC4-5D6E-409C-BE32-E72D297353CC}">
                <c16:uniqueId val="{00000011-D77B-9843-9D83-0FD31227CB7D}"/>
              </c:ext>
            </c:extLst>
          </c:dPt>
          <c:dPt>
            <c:idx val="9"/>
            <c:invertIfNegative val="0"/>
            <c:bubble3D val="0"/>
            <c:spPr>
              <a:solidFill>
                <a:srgbClr val="0070C0"/>
              </a:solidFill>
              <a:ln>
                <a:noFill/>
              </a:ln>
              <a:effectLst/>
            </c:spPr>
            <c:extLst>
              <c:ext xmlns:c16="http://schemas.microsoft.com/office/drawing/2014/chart" uri="{C3380CC4-5D6E-409C-BE32-E72D297353CC}">
                <c16:uniqueId val="{00000013-D77B-9843-9D83-0FD31227CB7D}"/>
              </c:ext>
            </c:extLst>
          </c:dPt>
          <c:dPt>
            <c:idx val="10"/>
            <c:invertIfNegative val="0"/>
            <c:bubble3D val="0"/>
            <c:spPr>
              <a:solidFill>
                <a:srgbClr val="0070C0"/>
              </a:solidFill>
              <a:ln>
                <a:noFill/>
              </a:ln>
              <a:effectLst/>
            </c:spPr>
            <c:extLst>
              <c:ext xmlns:c16="http://schemas.microsoft.com/office/drawing/2014/chart" uri="{C3380CC4-5D6E-409C-BE32-E72D297353CC}">
                <c16:uniqueId val="{00000015-D77B-9843-9D83-0FD31227CB7D}"/>
              </c:ext>
            </c:extLst>
          </c:dPt>
          <c:dPt>
            <c:idx val="11"/>
            <c:invertIfNegative val="0"/>
            <c:bubble3D val="0"/>
            <c:spPr>
              <a:solidFill>
                <a:srgbClr val="0070C0"/>
              </a:solidFill>
              <a:ln>
                <a:noFill/>
              </a:ln>
              <a:effectLst/>
            </c:spPr>
            <c:extLst>
              <c:ext xmlns:c16="http://schemas.microsoft.com/office/drawing/2014/chart" uri="{C3380CC4-5D6E-409C-BE32-E72D297353CC}">
                <c16:uniqueId val="{00000017-D77B-9843-9D83-0FD31227CB7D}"/>
              </c:ext>
            </c:extLst>
          </c:dPt>
          <c:dPt>
            <c:idx val="12"/>
            <c:invertIfNegative val="0"/>
            <c:bubble3D val="0"/>
            <c:spPr>
              <a:solidFill>
                <a:srgbClr val="0070C0"/>
              </a:solidFill>
              <a:ln>
                <a:noFill/>
              </a:ln>
              <a:effectLst/>
            </c:spPr>
            <c:extLst>
              <c:ext xmlns:c16="http://schemas.microsoft.com/office/drawing/2014/chart" uri="{C3380CC4-5D6E-409C-BE32-E72D297353CC}">
                <c16:uniqueId val="{00000019-D77B-9843-9D83-0FD31227CB7D}"/>
              </c:ext>
            </c:extLst>
          </c:dPt>
          <c:dPt>
            <c:idx val="13"/>
            <c:invertIfNegative val="0"/>
            <c:bubble3D val="0"/>
            <c:spPr>
              <a:solidFill>
                <a:srgbClr val="0070C0"/>
              </a:solidFill>
              <a:ln>
                <a:noFill/>
              </a:ln>
              <a:effectLst/>
            </c:spPr>
            <c:extLst>
              <c:ext xmlns:c16="http://schemas.microsoft.com/office/drawing/2014/chart" uri="{C3380CC4-5D6E-409C-BE32-E72D297353CC}">
                <c16:uniqueId val="{0000001B-D77B-9843-9D83-0FD31227CB7D}"/>
              </c:ext>
            </c:extLst>
          </c:dPt>
          <c:dPt>
            <c:idx val="14"/>
            <c:invertIfNegative val="0"/>
            <c:bubble3D val="0"/>
            <c:spPr>
              <a:solidFill>
                <a:srgbClr val="0070C0"/>
              </a:solidFill>
              <a:ln>
                <a:solidFill>
                  <a:srgbClr val="0070C0"/>
                </a:solidFill>
              </a:ln>
              <a:effectLst/>
            </c:spPr>
            <c:extLst>
              <c:ext xmlns:c16="http://schemas.microsoft.com/office/drawing/2014/chart" uri="{C3380CC4-5D6E-409C-BE32-E72D297353CC}">
                <c16:uniqueId val="{0000001D-D77B-9843-9D83-0FD31227CB7D}"/>
              </c:ext>
            </c:extLst>
          </c:dPt>
          <c:dPt>
            <c:idx val="15"/>
            <c:invertIfNegative val="0"/>
            <c:bubble3D val="0"/>
            <c:spPr>
              <a:solidFill>
                <a:schemeClr val="accent1">
                  <a:lumMod val="75000"/>
                </a:schemeClr>
              </a:solidFill>
              <a:ln>
                <a:noFill/>
              </a:ln>
              <a:effectLst/>
            </c:spPr>
            <c:extLst>
              <c:ext xmlns:c16="http://schemas.microsoft.com/office/drawing/2014/chart" uri="{C3380CC4-5D6E-409C-BE32-E72D297353CC}">
                <c16:uniqueId val="{0000001F-D77B-9843-9D83-0FD31227CB7D}"/>
              </c:ext>
            </c:extLst>
          </c:dPt>
          <c:dPt>
            <c:idx val="16"/>
            <c:invertIfNegative val="0"/>
            <c:bubble3D val="0"/>
            <c:spPr>
              <a:solidFill>
                <a:schemeClr val="accent5"/>
              </a:solidFill>
              <a:ln>
                <a:noFill/>
              </a:ln>
              <a:effectLst/>
            </c:spPr>
            <c:extLst>
              <c:ext xmlns:c16="http://schemas.microsoft.com/office/drawing/2014/chart" uri="{C3380CC4-5D6E-409C-BE32-E72D297353CC}">
                <c16:uniqueId val="{00000021-D77B-9843-9D83-0FD31227CB7D}"/>
              </c:ext>
            </c:extLst>
          </c:dPt>
          <c:cat>
            <c:strRef>
              <c:f>Sheet1!$A$2:$A$18</c:f>
              <c:strCache>
                <c:ptCount val="17"/>
                <c:pt idx="0">
                  <c:v>New Bern</c:v>
                </c:pt>
                <c:pt idx="1">
                  <c:v>Greenville</c:v>
                </c:pt>
                <c:pt idx="2">
                  <c:v>Greensboro</c:v>
                </c:pt>
                <c:pt idx="3">
                  <c:v>Burlington</c:v>
                </c:pt>
                <c:pt idx="4">
                  <c:v>Jacksonville</c:v>
                </c:pt>
                <c:pt idx="5">
                  <c:v>Goldsboro</c:v>
                </c:pt>
                <c:pt idx="6">
                  <c:v>Rocky Mount</c:v>
                </c:pt>
                <c:pt idx="7">
                  <c:v>Hickory</c:v>
                </c:pt>
                <c:pt idx="8">
                  <c:v>Durham-CH</c:v>
                </c:pt>
                <c:pt idx="9">
                  <c:v>Fayetteville</c:v>
                </c:pt>
                <c:pt idx="10">
                  <c:v>Raleigh</c:v>
                </c:pt>
                <c:pt idx="11">
                  <c:v>State</c:v>
                </c:pt>
                <c:pt idx="12">
                  <c:v>Wilmington</c:v>
                </c:pt>
                <c:pt idx="13">
                  <c:v>Non-Metro</c:v>
                </c:pt>
                <c:pt idx="14">
                  <c:v>Winston-Salem</c:v>
                </c:pt>
                <c:pt idx="15">
                  <c:v>Charlotte</c:v>
                </c:pt>
                <c:pt idx="16">
                  <c:v>Asheville</c:v>
                </c:pt>
              </c:strCache>
            </c:strRef>
          </c:cat>
          <c:val>
            <c:numRef>
              <c:f>Sheet1!$B$2:$B$18</c:f>
              <c:numCache>
                <c:formatCode>General</c:formatCode>
                <c:ptCount val="17"/>
                <c:pt idx="0">
                  <c:v>-1</c:v>
                </c:pt>
                <c:pt idx="1">
                  <c:v>-1</c:v>
                </c:pt>
                <c:pt idx="2">
                  <c:v>-0.6</c:v>
                </c:pt>
                <c:pt idx="3">
                  <c:v>-0.5</c:v>
                </c:pt>
                <c:pt idx="4">
                  <c:v>-0.2</c:v>
                </c:pt>
                <c:pt idx="5">
                  <c:v>0</c:v>
                </c:pt>
                <c:pt idx="6">
                  <c:v>0.2</c:v>
                </c:pt>
                <c:pt idx="7">
                  <c:v>0.4</c:v>
                </c:pt>
                <c:pt idx="8">
                  <c:v>0.7</c:v>
                </c:pt>
                <c:pt idx="9">
                  <c:v>0.8</c:v>
                </c:pt>
                <c:pt idx="10">
                  <c:v>1.2</c:v>
                </c:pt>
                <c:pt idx="11">
                  <c:v>1.5</c:v>
                </c:pt>
                <c:pt idx="12">
                  <c:v>1.5</c:v>
                </c:pt>
                <c:pt idx="13">
                  <c:v>1.6</c:v>
                </c:pt>
                <c:pt idx="14">
                  <c:v>1.6</c:v>
                </c:pt>
                <c:pt idx="15">
                  <c:v>2.5</c:v>
                </c:pt>
                <c:pt idx="16">
                  <c:v>3.6</c:v>
                </c:pt>
              </c:numCache>
            </c:numRef>
          </c:val>
          <c:extLst>
            <c:ext xmlns:c16="http://schemas.microsoft.com/office/drawing/2014/chart" uri="{C3380CC4-5D6E-409C-BE32-E72D297353CC}">
              <c16:uniqueId val="{00000022-D77B-9843-9D83-0FD31227CB7D}"/>
            </c:ext>
          </c:extLst>
        </c:ser>
        <c:dLbls>
          <c:showLegendKey val="0"/>
          <c:showVal val="0"/>
          <c:showCatName val="0"/>
          <c:showSerName val="0"/>
          <c:showPercent val="0"/>
          <c:showBubbleSize val="0"/>
        </c:dLbls>
        <c:gapWidth val="182"/>
        <c:axId val="414380696"/>
        <c:axId val="414381480"/>
      </c:barChart>
      <c:catAx>
        <c:axId val="41438069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4381480"/>
        <c:crosses val="autoZero"/>
        <c:auto val="1"/>
        <c:lblAlgn val="ctr"/>
        <c:lblOffset val="100"/>
        <c:noMultiLvlLbl val="0"/>
      </c:catAx>
      <c:valAx>
        <c:axId val="41438148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80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dirty="0"/>
              <a:t>NCSU</a:t>
            </a:r>
            <a:r>
              <a:rPr lang="en-US" sz="1200" baseline="0" dirty="0"/>
              <a:t> INDEX OF NORTH CAROLINA LEADING ECONOMIC INDICATORS</a:t>
            </a:r>
            <a:endParaRPr lang="en-US" sz="1200" dirty="0"/>
          </a:p>
        </c:rich>
      </c:tx>
      <c:overlay val="0"/>
    </c:title>
    <c:autoTitleDeleted val="0"/>
    <c:plotArea>
      <c:layout/>
      <c:lineChart>
        <c:grouping val="standard"/>
        <c:varyColors val="0"/>
        <c:ser>
          <c:idx val="0"/>
          <c:order val="0"/>
          <c:tx>
            <c:strRef>
              <c:f>Sheet1!$B$1</c:f>
              <c:strCache>
                <c:ptCount val="1"/>
                <c:pt idx="0">
                  <c:v>Series 1</c:v>
                </c:pt>
              </c:strCache>
            </c:strRef>
          </c:tx>
          <c:spPr>
            <a:ln w="57150">
              <a:solidFill>
                <a:srgbClr val="FF0000"/>
              </a:solidFill>
            </a:ln>
          </c:spPr>
          <c:marker>
            <c:symbol val="none"/>
          </c:marker>
          <c:cat>
            <c:strRef>
              <c:f>Sheet1!$A$2:$A$150</c:f>
              <c:strCache>
                <c:ptCount val="149"/>
                <c:pt idx="0">
                  <c:v>2007 feb</c:v>
                </c:pt>
                <c:pt idx="1">
                  <c:v>2007 mar</c:v>
                </c:pt>
                <c:pt idx="2">
                  <c:v>2007 apr</c:v>
                </c:pt>
                <c:pt idx="3">
                  <c:v>2007 may</c:v>
                </c:pt>
                <c:pt idx="4">
                  <c:v>2007 jun</c:v>
                </c:pt>
                <c:pt idx="5">
                  <c:v>2007 jul</c:v>
                </c:pt>
                <c:pt idx="6">
                  <c:v>2007 aug</c:v>
                </c:pt>
                <c:pt idx="7">
                  <c:v>2007 sep</c:v>
                </c:pt>
                <c:pt idx="8">
                  <c:v>2007 oct</c:v>
                </c:pt>
                <c:pt idx="9">
                  <c:v>2007 nov</c:v>
                </c:pt>
                <c:pt idx="10">
                  <c:v>2007 dec</c:v>
                </c:pt>
                <c:pt idx="11">
                  <c:v>2008 jan</c:v>
                </c:pt>
                <c:pt idx="12">
                  <c:v>2008 feb</c:v>
                </c:pt>
                <c:pt idx="13">
                  <c:v>2008 mar</c:v>
                </c:pt>
                <c:pt idx="14">
                  <c:v>2008 apr</c:v>
                </c:pt>
                <c:pt idx="15">
                  <c:v>2008 may</c:v>
                </c:pt>
                <c:pt idx="16">
                  <c:v>2008 jun</c:v>
                </c:pt>
                <c:pt idx="17">
                  <c:v>2008 jul</c:v>
                </c:pt>
                <c:pt idx="18">
                  <c:v>2008 aug</c:v>
                </c:pt>
                <c:pt idx="19">
                  <c:v>2008 sep</c:v>
                </c:pt>
                <c:pt idx="20">
                  <c:v>2008 oct</c:v>
                </c:pt>
                <c:pt idx="21">
                  <c:v>2008 nov</c:v>
                </c:pt>
                <c:pt idx="22">
                  <c:v>2008 dec</c:v>
                </c:pt>
                <c:pt idx="23">
                  <c:v>2009 jan</c:v>
                </c:pt>
                <c:pt idx="24">
                  <c:v>2009 feb</c:v>
                </c:pt>
                <c:pt idx="25">
                  <c:v>2009 mar</c:v>
                </c:pt>
                <c:pt idx="26">
                  <c:v>2009 apr</c:v>
                </c:pt>
                <c:pt idx="27">
                  <c:v>2009 may</c:v>
                </c:pt>
                <c:pt idx="28">
                  <c:v>2009 jun</c:v>
                </c:pt>
                <c:pt idx="29">
                  <c:v>2009 jul</c:v>
                </c:pt>
                <c:pt idx="30">
                  <c:v>2009 aug</c:v>
                </c:pt>
                <c:pt idx="31">
                  <c:v>2009 sep</c:v>
                </c:pt>
                <c:pt idx="32">
                  <c:v>2009 oct</c:v>
                </c:pt>
                <c:pt idx="33">
                  <c:v>2009 nov</c:v>
                </c:pt>
                <c:pt idx="34">
                  <c:v>2009 dec</c:v>
                </c:pt>
                <c:pt idx="35">
                  <c:v>2010 jan</c:v>
                </c:pt>
                <c:pt idx="36">
                  <c:v>2010 feb</c:v>
                </c:pt>
                <c:pt idx="37">
                  <c:v>2010 mar</c:v>
                </c:pt>
                <c:pt idx="38">
                  <c:v>2010 apr</c:v>
                </c:pt>
                <c:pt idx="39">
                  <c:v>2010 may</c:v>
                </c:pt>
                <c:pt idx="40">
                  <c:v>2010 jun</c:v>
                </c:pt>
                <c:pt idx="41">
                  <c:v>2010 jul</c:v>
                </c:pt>
                <c:pt idx="42">
                  <c:v>2010 aug</c:v>
                </c:pt>
                <c:pt idx="43">
                  <c:v>2010 sep</c:v>
                </c:pt>
                <c:pt idx="44">
                  <c:v>2010 oct</c:v>
                </c:pt>
                <c:pt idx="45">
                  <c:v>2010 nov</c:v>
                </c:pt>
                <c:pt idx="46">
                  <c:v>2010 dec</c:v>
                </c:pt>
                <c:pt idx="47">
                  <c:v>2011 jan</c:v>
                </c:pt>
                <c:pt idx="48">
                  <c:v>2011 feb</c:v>
                </c:pt>
                <c:pt idx="49">
                  <c:v>2011 mar</c:v>
                </c:pt>
                <c:pt idx="50">
                  <c:v>2011 apr</c:v>
                </c:pt>
                <c:pt idx="51">
                  <c:v>2011 may</c:v>
                </c:pt>
                <c:pt idx="52">
                  <c:v>2011 jun</c:v>
                </c:pt>
                <c:pt idx="53">
                  <c:v>2011 jul</c:v>
                </c:pt>
                <c:pt idx="54">
                  <c:v>2011 aug</c:v>
                </c:pt>
                <c:pt idx="55">
                  <c:v>2011 sep</c:v>
                </c:pt>
                <c:pt idx="56">
                  <c:v>2011 oct</c:v>
                </c:pt>
                <c:pt idx="57">
                  <c:v>2011 nov</c:v>
                </c:pt>
                <c:pt idx="58">
                  <c:v>2011 dec</c:v>
                </c:pt>
                <c:pt idx="59">
                  <c:v>2012 jan</c:v>
                </c:pt>
                <c:pt idx="60">
                  <c:v>2012 feb</c:v>
                </c:pt>
                <c:pt idx="61">
                  <c:v>2012 mar</c:v>
                </c:pt>
                <c:pt idx="62">
                  <c:v>2012 apr</c:v>
                </c:pt>
                <c:pt idx="63">
                  <c:v>2012 may</c:v>
                </c:pt>
                <c:pt idx="64">
                  <c:v>2012 jun</c:v>
                </c:pt>
                <c:pt idx="65">
                  <c:v>2012 jul</c:v>
                </c:pt>
                <c:pt idx="66">
                  <c:v>2012 aug</c:v>
                </c:pt>
                <c:pt idx="67">
                  <c:v>2012 sep</c:v>
                </c:pt>
                <c:pt idx="68">
                  <c:v>2012 oct</c:v>
                </c:pt>
                <c:pt idx="69">
                  <c:v>2012 nov</c:v>
                </c:pt>
                <c:pt idx="70">
                  <c:v>2012 dec</c:v>
                </c:pt>
                <c:pt idx="71">
                  <c:v>2013 jan</c:v>
                </c:pt>
                <c:pt idx="72">
                  <c:v>2013 feb</c:v>
                </c:pt>
                <c:pt idx="73">
                  <c:v>2013 mar</c:v>
                </c:pt>
                <c:pt idx="74">
                  <c:v>2013 apr</c:v>
                </c:pt>
                <c:pt idx="75">
                  <c:v>2013 may</c:v>
                </c:pt>
                <c:pt idx="76">
                  <c:v>2013 jun</c:v>
                </c:pt>
                <c:pt idx="77">
                  <c:v>2013 jul</c:v>
                </c:pt>
                <c:pt idx="78">
                  <c:v>2013 aug</c:v>
                </c:pt>
                <c:pt idx="79">
                  <c:v>2013 sep</c:v>
                </c:pt>
                <c:pt idx="80">
                  <c:v>2013 oct</c:v>
                </c:pt>
                <c:pt idx="81">
                  <c:v>2013 nov</c:v>
                </c:pt>
                <c:pt idx="82">
                  <c:v>2013 dec</c:v>
                </c:pt>
                <c:pt idx="83">
                  <c:v>2014 jan</c:v>
                </c:pt>
                <c:pt idx="84">
                  <c:v>2014 feb</c:v>
                </c:pt>
                <c:pt idx="85">
                  <c:v>2014 mar</c:v>
                </c:pt>
                <c:pt idx="86">
                  <c:v>2014 apr</c:v>
                </c:pt>
                <c:pt idx="87">
                  <c:v>2014 may</c:v>
                </c:pt>
                <c:pt idx="88">
                  <c:v>2014 jun</c:v>
                </c:pt>
                <c:pt idx="89">
                  <c:v>2014 jul</c:v>
                </c:pt>
                <c:pt idx="90">
                  <c:v>2014 aug</c:v>
                </c:pt>
                <c:pt idx="91">
                  <c:v>2014 sep</c:v>
                </c:pt>
                <c:pt idx="92">
                  <c:v>2014 oct</c:v>
                </c:pt>
                <c:pt idx="93">
                  <c:v>2014 nov</c:v>
                </c:pt>
                <c:pt idx="94">
                  <c:v>2014 dec</c:v>
                </c:pt>
                <c:pt idx="95">
                  <c:v>2015 jan</c:v>
                </c:pt>
                <c:pt idx="96">
                  <c:v>2015 feb</c:v>
                </c:pt>
                <c:pt idx="97">
                  <c:v>2015 mar</c:v>
                </c:pt>
                <c:pt idx="98">
                  <c:v>2015 apr</c:v>
                </c:pt>
                <c:pt idx="99">
                  <c:v>2015 may</c:v>
                </c:pt>
                <c:pt idx="100">
                  <c:v>2015 jun</c:v>
                </c:pt>
                <c:pt idx="101">
                  <c:v>2015 jul</c:v>
                </c:pt>
                <c:pt idx="102">
                  <c:v>2015 aug</c:v>
                </c:pt>
                <c:pt idx="103">
                  <c:v>2015 sep</c:v>
                </c:pt>
                <c:pt idx="104">
                  <c:v>2015 oct</c:v>
                </c:pt>
                <c:pt idx="105">
                  <c:v>2015 nov</c:v>
                </c:pt>
                <c:pt idx="106">
                  <c:v>2015 dec</c:v>
                </c:pt>
                <c:pt idx="107">
                  <c:v>2016 jan</c:v>
                </c:pt>
                <c:pt idx="108">
                  <c:v>2016 feb</c:v>
                </c:pt>
                <c:pt idx="109">
                  <c:v>2016 mar</c:v>
                </c:pt>
                <c:pt idx="110">
                  <c:v>2016 apr</c:v>
                </c:pt>
                <c:pt idx="111">
                  <c:v>2016 may</c:v>
                </c:pt>
                <c:pt idx="112">
                  <c:v>2016 june </c:v>
                </c:pt>
                <c:pt idx="113">
                  <c:v>2016 jul</c:v>
                </c:pt>
                <c:pt idx="114">
                  <c:v>2016 aug</c:v>
                </c:pt>
                <c:pt idx="115">
                  <c:v>2016 sep</c:v>
                </c:pt>
                <c:pt idx="116">
                  <c:v>2016 oct</c:v>
                </c:pt>
                <c:pt idx="117">
                  <c:v>2016 nov</c:v>
                </c:pt>
                <c:pt idx="118">
                  <c:v>2016 dec</c:v>
                </c:pt>
                <c:pt idx="119">
                  <c:v>2017 jan </c:v>
                </c:pt>
                <c:pt idx="120">
                  <c:v>2017 feb</c:v>
                </c:pt>
                <c:pt idx="121">
                  <c:v>2017 mar</c:v>
                </c:pt>
                <c:pt idx="122">
                  <c:v>2017 apr</c:v>
                </c:pt>
                <c:pt idx="123">
                  <c:v>2017 may</c:v>
                </c:pt>
                <c:pt idx="124">
                  <c:v>2017 june</c:v>
                </c:pt>
                <c:pt idx="125">
                  <c:v>2017 jul</c:v>
                </c:pt>
                <c:pt idx="126">
                  <c:v>2017 aug</c:v>
                </c:pt>
                <c:pt idx="127">
                  <c:v>2017 sep</c:v>
                </c:pt>
                <c:pt idx="128">
                  <c:v>2017 oct</c:v>
                </c:pt>
                <c:pt idx="129">
                  <c:v>2017 nov</c:v>
                </c:pt>
                <c:pt idx="130">
                  <c:v>2017 dec</c:v>
                </c:pt>
                <c:pt idx="131">
                  <c:v>2018 jan</c:v>
                </c:pt>
                <c:pt idx="132">
                  <c:v>2018 feb</c:v>
                </c:pt>
                <c:pt idx="133">
                  <c:v>2018 mar</c:v>
                </c:pt>
                <c:pt idx="134">
                  <c:v>2018 apr</c:v>
                </c:pt>
                <c:pt idx="135">
                  <c:v>2018 may</c:v>
                </c:pt>
                <c:pt idx="136">
                  <c:v>2018 june</c:v>
                </c:pt>
                <c:pt idx="137">
                  <c:v>2018 jul</c:v>
                </c:pt>
                <c:pt idx="138">
                  <c:v>2018 aug</c:v>
                </c:pt>
                <c:pt idx="139">
                  <c:v>2018 sep </c:v>
                </c:pt>
                <c:pt idx="140">
                  <c:v>2018 oct</c:v>
                </c:pt>
                <c:pt idx="141">
                  <c:v>2018 nov</c:v>
                </c:pt>
                <c:pt idx="142">
                  <c:v>2018 dec</c:v>
                </c:pt>
                <c:pt idx="143">
                  <c:v>2019 jan</c:v>
                </c:pt>
                <c:pt idx="144">
                  <c:v>2019 feb</c:v>
                </c:pt>
                <c:pt idx="145">
                  <c:v>2019 mar</c:v>
                </c:pt>
                <c:pt idx="146">
                  <c:v>2019 apr</c:v>
                </c:pt>
                <c:pt idx="147">
                  <c:v>2019 may</c:v>
                </c:pt>
                <c:pt idx="148">
                  <c:v>2019 jun</c:v>
                </c:pt>
              </c:strCache>
            </c:strRef>
          </c:cat>
          <c:val>
            <c:numRef>
              <c:f>Sheet1!$B$2:$B$150</c:f>
              <c:numCache>
                <c:formatCode>General</c:formatCode>
                <c:ptCount val="149"/>
                <c:pt idx="0">
                  <c:v>94.95</c:v>
                </c:pt>
                <c:pt idx="1">
                  <c:v>95.68</c:v>
                </c:pt>
                <c:pt idx="2">
                  <c:v>94.8</c:v>
                </c:pt>
                <c:pt idx="3">
                  <c:v>95.11</c:v>
                </c:pt>
                <c:pt idx="4">
                  <c:v>95.24</c:v>
                </c:pt>
                <c:pt idx="5">
                  <c:v>94.64</c:v>
                </c:pt>
                <c:pt idx="6">
                  <c:v>93.05</c:v>
                </c:pt>
                <c:pt idx="7">
                  <c:v>93.4</c:v>
                </c:pt>
                <c:pt idx="8">
                  <c:v>92.41</c:v>
                </c:pt>
                <c:pt idx="9">
                  <c:v>92.67</c:v>
                </c:pt>
                <c:pt idx="10">
                  <c:v>91.28</c:v>
                </c:pt>
                <c:pt idx="11">
                  <c:v>90.83</c:v>
                </c:pt>
                <c:pt idx="12">
                  <c:v>89.63</c:v>
                </c:pt>
                <c:pt idx="13">
                  <c:v>89.23</c:v>
                </c:pt>
                <c:pt idx="14">
                  <c:v>88.8</c:v>
                </c:pt>
                <c:pt idx="15">
                  <c:v>87.76</c:v>
                </c:pt>
                <c:pt idx="16">
                  <c:v>88.86</c:v>
                </c:pt>
                <c:pt idx="17">
                  <c:v>87.05</c:v>
                </c:pt>
                <c:pt idx="18">
                  <c:v>86.26</c:v>
                </c:pt>
                <c:pt idx="19">
                  <c:v>83.99</c:v>
                </c:pt>
                <c:pt idx="20">
                  <c:v>83.48</c:v>
                </c:pt>
                <c:pt idx="21">
                  <c:v>81.05</c:v>
                </c:pt>
                <c:pt idx="22">
                  <c:v>79.64</c:v>
                </c:pt>
                <c:pt idx="23">
                  <c:v>79.760000000000005</c:v>
                </c:pt>
                <c:pt idx="24">
                  <c:v>78.88</c:v>
                </c:pt>
                <c:pt idx="25">
                  <c:v>78.17</c:v>
                </c:pt>
                <c:pt idx="26">
                  <c:v>79.040000000000006</c:v>
                </c:pt>
                <c:pt idx="27">
                  <c:v>81.209999999999994</c:v>
                </c:pt>
                <c:pt idx="28">
                  <c:v>82.25</c:v>
                </c:pt>
                <c:pt idx="29">
                  <c:v>82.63</c:v>
                </c:pt>
                <c:pt idx="30">
                  <c:v>84.87</c:v>
                </c:pt>
                <c:pt idx="31">
                  <c:v>85.99</c:v>
                </c:pt>
                <c:pt idx="32">
                  <c:v>85.84</c:v>
                </c:pt>
                <c:pt idx="33">
                  <c:v>86.27</c:v>
                </c:pt>
                <c:pt idx="34">
                  <c:v>86.62</c:v>
                </c:pt>
                <c:pt idx="35">
                  <c:v>88.11</c:v>
                </c:pt>
                <c:pt idx="36">
                  <c:v>88.11</c:v>
                </c:pt>
                <c:pt idx="37">
                  <c:v>87.9</c:v>
                </c:pt>
                <c:pt idx="38">
                  <c:v>89.4</c:v>
                </c:pt>
                <c:pt idx="39">
                  <c:v>88.52</c:v>
                </c:pt>
                <c:pt idx="40">
                  <c:v>86.96</c:v>
                </c:pt>
                <c:pt idx="41">
                  <c:v>86.53</c:v>
                </c:pt>
                <c:pt idx="42">
                  <c:v>86.54</c:v>
                </c:pt>
                <c:pt idx="43">
                  <c:v>85.88</c:v>
                </c:pt>
                <c:pt idx="44">
                  <c:v>87.32</c:v>
                </c:pt>
                <c:pt idx="45">
                  <c:v>87.29</c:v>
                </c:pt>
                <c:pt idx="46">
                  <c:v>87.07</c:v>
                </c:pt>
                <c:pt idx="47">
                  <c:v>88.55</c:v>
                </c:pt>
                <c:pt idx="48">
                  <c:v>89.89</c:v>
                </c:pt>
                <c:pt idx="49">
                  <c:v>88.73</c:v>
                </c:pt>
                <c:pt idx="50">
                  <c:v>88.25</c:v>
                </c:pt>
                <c:pt idx="51">
                  <c:v>88.47</c:v>
                </c:pt>
                <c:pt idx="52">
                  <c:v>88.57</c:v>
                </c:pt>
                <c:pt idx="53">
                  <c:v>87.85</c:v>
                </c:pt>
                <c:pt idx="54">
                  <c:v>86.83</c:v>
                </c:pt>
                <c:pt idx="55">
                  <c:v>85.62</c:v>
                </c:pt>
                <c:pt idx="56">
                  <c:v>86.85</c:v>
                </c:pt>
                <c:pt idx="57">
                  <c:v>88.46</c:v>
                </c:pt>
                <c:pt idx="58">
                  <c:v>86.63</c:v>
                </c:pt>
                <c:pt idx="59">
                  <c:v>89.9</c:v>
                </c:pt>
                <c:pt idx="60">
                  <c:v>89.3</c:v>
                </c:pt>
                <c:pt idx="61">
                  <c:v>88.8</c:v>
                </c:pt>
                <c:pt idx="62">
                  <c:v>88.5</c:v>
                </c:pt>
                <c:pt idx="63">
                  <c:v>88.8</c:v>
                </c:pt>
                <c:pt idx="64">
                  <c:v>87.8</c:v>
                </c:pt>
                <c:pt idx="65">
                  <c:v>87.74</c:v>
                </c:pt>
                <c:pt idx="66">
                  <c:v>87.49</c:v>
                </c:pt>
                <c:pt idx="67">
                  <c:v>87.69</c:v>
                </c:pt>
                <c:pt idx="68">
                  <c:v>89.73</c:v>
                </c:pt>
                <c:pt idx="69">
                  <c:v>89.97</c:v>
                </c:pt>
                <c:pt idx="70">
                  <c:v>89.59</c:v>
                </c:pt>
                <c:pt idx="71">
                  <c:v>89.5</c:v>
                </c:pt>
                <c:pt idx="72">
                  <c:v>89.3</c:v>
                </c:pt>
                <c:pt idx="73">
                  <c:v>89</c:v>
                </c:pt>
                <c:pt idx="74">
                  <c:v>90.16</c:v>
                </c:pt>
                <c:pt idx="75">
                  <c:v>90.26</c:v>
                </c:pt>
                <c:pt idx="76">
                  <c:v>90.16</c:v>
                </c:pt>
                <c:pt idx="77">
                  <c:v>90.64</c:v>
                </c:pt>
                <c:pt idx="78">
                  <c:v>94.2</c:v>
                </c:pt>
                <c:pt idx="79">
                  <c:v>96.41</c:v>
                </c:pt>
                <c:pt idx="80">
                  <c:v>96.52</c:v>
                </c:pt>
                <c:pt idx="81">
                  <c:v>97.19</c:v>
                </c:pt>
                <c:pt idx="82">
                  <c:v>97.95</c:v>
                </c:pt>
                <c:pt idx="83">
                  <c:v>96.72</c:v>
                </c:pt>
                <c:pt idx="84">
                  <c:v>95.2</c:v>
                </c:pt>
                <c:pt idx="85">
                  <c:v>99.9</c:v>
                </c:pt>
                <c:pt idx="86">
                  <c:v>100.2</c:v>
                </c:pt>
                <c:pt idx="87">
                  <c:v>94.34</c:v>
                </c:pt>
                <c:pt idx="88">
                  <c:v>94.25</c:v>
                </c:pt>
                <c:pt idx="89">
                  <c:v>95.86</c:v>
                </c:pt>
                <c:pt idx="90">
                  <c:v>95.83</c:v>
                </c:pt>
                <c:pt idx="91">
                  <c:v>94.48</c:v>
                </c:pt>
                <c:pt idx="92">
                  <c:v>94.45</c:v>
                </c:pt>
                <c:pt idx="93">
                  <c:v>94.68</c:v>
                </c:pt>
                <c:pt idx="94">
                  <c:v>93.82</c:v>
                </c:pt>
                <c:pt idx="95">
                  <c:v>92.26</c:v>
                </c:pt>
                <c:pt idx="96">
                  <c:v>92.32</c:v>
                </c:pt>
                <c:pt idx="97">
                  <c:v>91.49</c:v>
                </c:pt>
                <c:pt idx="98">
                  <c:v>92.25</c:v>
                </c:pt>
                <c:pt idx="99">
                  <c:v>92.22</c:v>
                </c:pt>
                <c:pt idx="100">
                  <c:v>91.49</c:v>
                </c:pt>
                <c:pt idx="101">
                  <c:v>91.78</c:v>
                </c:pt>
                <c:pt idx="102">
                  <c:v>91.45</c:v>
                </c:pt>
                <c:pt idx="103">
                  <c:v>90.73</c:v>
                </c:pt>
                <c:pt idx="104">
                  <c:v>91.87</c:v>
                </c:pt>
                <c:pt idx="105">
                  <c:v>90.92</c:v>
                </c:pt>
                <c:pt idx="106">
                  <c:v>95.77</c:v>
                </c:pt>
                <c:pt idx="107">
                  <c:v>93.73</c:v>
                </c:pt>
                <c:pt idx="108">
                  <c:v>94.69</c:v>
                </c:pt>
                <c:pt idx="109">
                  <c:v>94.33</c:v>
                </c:pt>
                <c:pt idx="110">
                  <c:v>97.57</c:v>
                </c:pt>
                <c:pt idx="111">
                  <c:v>94.57</c:v>
                </c:pt>
                <c:pt idx="112">
                  <c:v>94.61</c:v>
                </c:pt>
                <c:pt idx="113">
                  <c:v>95.83</c:v>
                </c:pt>
                <c:pt idx="114">
                  <c:v>94.42</c:v>
                </c:pt>
                <c:pt idx="115">
                  <c:v>94.28</c:v>
                </c:pt>
                <c:pt idx="116">
                  <c:v>94.01</c:v>
                </c:pt>
                <c:pt idx="117">
                  <c:v>96.63</c:v>
                </c:pt>
                <c:pt idx="118">
                  <c:v>96.71</c:v>
                </c:pt>
                <c:pt idx="119">
                  <c:v>97.11</c:v>
                </c:pt>
                <c:pt idx="120">
                  <c:v>98.8</c:v>
                </c:pt>
                <c:pt idx="121">
                  <c:v>98.4</c:v>
                </c:pt>
                <c:pt idx="122">
                  <c:v>96.23</c:v>
                </c:pt>
                <c:pt idx="123">
                  <c:v>97.83</c:v>
                </c:pt>
                <c:pt idx="124">
                  <c:v>97.85</c:v>
                </c:pt>
                <c:pt idx="125">
                  <c:v>98.87</c:v>
                </c:pt>
                <c:pt idx="126">
                  <c:v>98.12</c:v>
                </c:pt>
                <c:pt idx="127">
                  <c:v>97.67</c:v>
                </c:pt>
                <c:pt idx="128">
                  <c:v>100.04</c:v>
                </c:pt>
                <c:pt idx="129">
                  <c:v>99.83</c:v>
                </c:pt>
                <c:pt idx="130">
                  <c:v>99.36</c:v>
                </c:pt>
                <c:pt idx="131">
                  <c:v>99.97</c:v>
                </c:pt>
                <c:pt idx="132">
                  <c:v>100.86</c:v>
                </c:pt>
                <c:pt idx="133">
                  <c:v>99.16</c:v>
                </c:pt>
                <c:pt idx="134">
                  <c:v>99.24</c:v>
                </c:pt>
                <c:pt idx="135">
                  <c:v>99.09</c:v>
                </c:pt>
                <c:pt idx="136">
                  <c:v>100.03</c:v>
                </c:pt>
                <c:pt idx="137">
                  <c:v>100.14</c:v>
                </c:pt>
                <c:pt idx="138">
                  <c:v>100.15</c:v>
                </c:pt>
                <c:pt idx="139">
                  <c:v>88.77</c:v>
                </c:pt>
                <c:pt idx="140">
                  <c:v>92.99</c:v>
                </c:pt>
                <c:pt idx="141">
                  <c:v>93.48</c:v>
                </c:pt>
                <c:pt idx="142">
                  <c:v>91.83</c:v>
                </c:pt>
                <c:pt idx="143">
                  <c:v>92.69</c:v>
                </c:pt>
                <c:pt idx="144">
                  <c:v>92.97</c:v>
                </c:pt>
                <c:pt idx="145">
                  <c:v>92.29</c:v>
                </c:pt>
                <c:pt idx="146">
                  <c:v>93.29</c:v>
                </c:pt>
                <c:pt idx="147">
                  <c:v>93.17</c:v>
                </c:pt>
                <c:pt idx="148">
                  <c:v>92.22</c:v>
                </c:pt>
              </c:numCache>
            </c:numRef>
          </c:val>
          <c:smooth val="0"/>
          <c:extLst>
            <c:ext xmlns:c16="http://schemas.microsoft.com/office/drawing/2014/chart" uri="{C3380CC4-5D6E-409C-BE32-E72D297353CC}">
              <c16:uniqueId val="{00000000-7194-40E5-B2E7-80B434267A79}"/>
            </c:ext>
          </c:extLst>
        </c:ser>
        <c:dLbls>
          <c:showLegendKey val="0"/>
          <c:showVal val="0"/>
          <c:showCatName val="0"/>
          <c:showSerName val="0"/>
          <c:showPercent val="0"/>
          <c:showBubbleSize val="0"/>
        </c:dLbls>
        <c:smooth val="0"/>
        <c:axId val="407819248"/>
        <c:axId val="407820424"/>
      </c:lineChart>
      <c:catAx>
        <c:axId val="407819248"/>
        <c:scaling>
          <c:orientation val="minMax"/>
        </c:scaling>
        <c:delete val="0"/>
        <c:axPos val="b"/>
        <c:title>
          <c:tx>
            <c:rich>
              <a:bodyPr/>
              <a:lstStyle/>
              <a:p>
                <a:pPr>
                  <a:defRPr sz="1000"/>
                </a:pPr>
                <a:r>
                  <a:rPr lang="en-US" sz="1000" dirty="0"/>
                  <a:t>Source:</a:t>
                </a:r>
                <a:r>
                  <a:rPr lang="en-US" sz="1000" baseline="0" dirty="0"/>
                  <a:t>  calculations by Dr. Michael Walden</a:t>
                </a:r>
                <a:endParaRPr lang="en-US" sz="1000" dirty="0"/>
              </a:p>
            </c:rich>
          </c:tx>
          <c:overlay val="0"/>
        </c:title>
        <c:numFmt formatCode="General" sourceLinked="0"/>
        <c:majorTickMark val="out"/>
        <c:minorTickMark val="none"/>
        <c:tickLblPos val="nextTo"/>
        <c:txPr>
          <a:bodyPr rot="-5400000" vert="horz"/>
          <a:lstStyle/>
          <a:p>
            <a:pPr>
              <a:defRPr sz="900"/>
            </a:pPr>
            <a:endParaRPr lang="en-US"/>
          </a:p>
        </c:txPr>
        <c:crossAx val="407820424"/>
        <c:crosses val="autoZero"/>
        <c:auto val="1"/>
        <c:lblAlgn val="r"/>
        <c:lblOffset val="100"/>
        <c:tickLblSkip val="3"/>
        <c:noMultiLvlLbl val="0"/>
      </c:catAx>
      <c:valAx>
        <c:axId val="407820424"/>
        <c:scaling>
          <c:orientation val="minMax"/>
          <c:min val="70"/>
        </c:scaling>
        <c:delete val="0"/>
        <c:axPos val="l"/>
        <c:majorGridlines/>
        <c:numFmt formatCode="General" sourceLinked="1"/>
        <c:majorTickMark val="out"/>
        <c:minorTickMark val="none"/>
        <c:tickLblPos val="nextTo"/>
        <c:txPr>
          <a:bodyPr/>
          <a:lstStyle/>
          <a:p>
            <a:pPr>
              <a:defRPr sz="1000"/>
            </a:pPr>
            <a:endParaRPr lang="en-US"/>
          </a:p>
        </c:txPr>
        <c:crossAx val="407819248"/>
        <c:crosses val="autoZero"/>
        <c:crossBetween val="between"/>
      </c:valAx>
    </c:plotArea>
    <c:plotVisOnly val="1"/>
    <c:dispBlanksAs val="gap"/>
    <c:showDLblsOverMax val="0"/>
  </c:chart>
  <c:spPr>
    <a:ln w="38100"/>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US</c:v>
                </c:pt>
              </c:strCache>
            </c:strRef>
          </c:tx>
          <c:spPr>
            <a:solidFill>
              <a:schemeClr val="tx1"/>
            </a:solidFill>
            <a:ln>
              <a:noFill/>
            </a:ln>
            <a:effectLst/>
          </c:spPr>
          <c:invertIfNegative val="0"/>
          <c:cat>
            <c:strRef>
              <c:f>Sheet1!$A$2:$A$8</c:f>
              <c:strCache>
                <c:ptCount val="7"/>
                <c:pt idx="0">
                  <c:v>Finance</c:v>
                </c:pt>
                <c:pt idx="1">
                  <c:v>Construction</c:v>
                </c:pt>
                <c:pt idx="2">
                  <c:v>Nondurable Mf</c:v>
                </c:pt>
                <c:pt idx="3">
                  <c:v>Education</c:v>
                </c:pt>
                <c:pt idx="4">
                  <c:v>Entertainment</c:v>
                </c:pt>
                <c:pt idx="5">
                  <c:v>Professional Servs.</c:v>
                </c:pt>
                <c:pt idx="6">
                  <c:v>Information</c:v>
                </c:pt>
              </c:strCache>
            </c:strRef>
          </c:cat>
          <c:val>
            <c:numRef>
              <c:f>Sheet1!$B$2:$B$8</c:f>
              <c:numCache>
                <c:formatCode>General</c:formatCode>
                <c:ptCount val="7"/>
                <c:pt idx="0">
                  <c:v>1.5</c:v>
                </c:pt>
                <c:pt idx="1">
                  <c:v>0.9</c:v>
                </c:pt>
                <c:pt idx="2">
                  <c:v>2.2999999999999998</c:v>
                </c:pt>
                <c:pt idx="3">
                  <c:v>1</c:v>
                </c:pt>
                <c:pt idx="4">
                  <c:v>3.3</c:v>
                </c:pt>
                <c:pt idx="5">
                  <c:v>4.8</c:v>
                </c:pt>
                <c:pt idx="6">
                  <c:v>8.6</c:v>
                </c:pt>
              </c:numCache>
            </c:numRef>
          </c:val>
          <c:extLst>
            <c:ext xmlns:c16="http://schemas.microsoft.com/office/drawing/2014/chart" uri="{C3380CC4-5D6E-409C-BE32-E72D297353CC}">
              <c16:uniqueId val="{00000000-6450-429C-9E2C-A2F44383DDD8}"/>
            </c:ext>
          </c:extLst>
        </c:ser>
        <c:ser>
          <c:idx val="1"/>
          <c:order val="1"/>
          <c:tx>
            <c:strRef>
              <c:f>Sheet1!$C$1</c:f>
              <c:strCache>
                <c:ptCount val="1"/>
                <c:pt idx="0">
                  <c:v>NC</c:v>
                </c:pt>
              </c:strCache>
            </c:strRef>
          </c:tx>
          <c:spPr>
            <a:solidFill>
              <a:srgbClr val="FF0000"/>
            </a:solidFill>
            <a:ln>
              <a:noFill/>
            </a:ln>
            <a:effectLst/>
          </c:spPr>
          <c:invertIfNegative val="0"/>
          <c:cat>
            <c:strRef>
              <c:f>Sheet1!$A$2:$A$8</c:f>
              <c:strCache>
                <c:ptCount val="7"/>
                <c:pt idx="0">
                  <c:v>Finance</c:v>
                </c:pt>
                <c:pt idx="1">
                  <c:v>Construction</c:v>
                </c:pt>
                <c:pt idx="2">
                  <c:v>Nondurable Mf</c:v>
                </c:pt>
                <c:pt idx="3">
                  <c:v>Education</c:v>
                </c:pt>
                <c:pt idx="4">
                  <c:v>Entertainment</c:v>
                </c:pt>
                <c:pt idx="5">
                  <c:v>Professional Servs.</c:v>
                </c:pt>
                <c:pt idx="6">
                  <c:v>Information</c:v>
                </c:pt>
              </c:strCache>
            </c:strRef>
          </c:cat>
          <c:val>
            <c:numRef>
              <c:f>Sheet1!$C$2:$C$8</c:f>
              <c:numCache>
                <c:formatCode>General</c:formatCode>
                <c:ptCount val="7"/>
                <c:pt idx="0">
                  <c:v>2.8</c:v>
                </c:pt>
                <c:pt idx="1">
                  <c:v>3.3</c:v>
                </c:pt>
                <c:pt idx="2">
                  <c:v>4.5</c:v>
                </c:pt>
                <c:pt idx="3">
                  <c:v>4.5999999999999996</c:v>
                </c:pt>
                <c:pt idx="4">
                  <c:v>5.9</c:v>
                </c:pt>
                <c:pt idx="5">
                  <c:v>7</c:v>
                </c:pt>
                <c:pt idx="6">
                  <c:v>9.9</c:v>
                </c:pt>
              </c:numCache>
            </c:numRef>
          </c:val>
          <c:extLst>
            <c:ext xmlns:c16="http://schemas.microsoft.com/office/drawing/2014/chart" uri="{C3380CC4-5D6E-409C-BE32-E72D297353CC}">
              <c16:uniqueId val="{00000001-6450-429C-9E2C-A2F44383DDD8}"/>
            </c:ext>
          </c:extLst>
        </c:ser>
        <c:dLbls>
          <c:showLegendKey val="0"/>
          <c:showVal val="0"/>
          <c:showCatName val="0"/>
          <c:showSerName val="0"/>
          <c:showPercent val="0"/>
          <c:showBubbleSize val="0"/>
        </c:dLbls>
        <c:gapWidth val="182"/>
        <c:axId val="420251504"/>
        <c:axId val="420246584"/>
      </c:barChart>
      <c:catAx>
        <c:axId val="42025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246584"/>
        <c:crosses val="autoZero"/>
        <c:auto val="1"/>
        <c:lblAlgn val="ctr"/>
        <c:lblOffset val="100"/>
        <c:noMultiLvlLbl val="0"/>
      </c:catAx>
      <c:valAx>
        <c:axId val="420246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25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US</c:v>
                </c:pt>
              </c:strCache>
            </c:strRef>
          </c:tx>
          <c:spPr>
            <a:solidFill>
              <a:schemeClr val="tx1"/>
            </a:solidFill>
            <a:ln>
              <a:noFill/>
            </a:ln>
            <a:effectLst/>
          </c:spPr>
          <c:invertIfNegative val="0"/>
          <c:cat>
            <c:strRef>
              <c:f>Sheet1!$A$2:$A$11</c:f>
              <c:strCache>
                <c:ptCount val="10"/>
                <c:pt idx="0">
                  <c:v>Wholesale Trd</c:v>
                </c:pt>
                <c:pt idx="1">
                  <c:v>Durable Mf</c:v>
                </c:pt>
                <c:pt idx="2">
                  <c:v>Health Care</c:v>
                </c:pt>
                <c:pt idx="3">
                  <c:v>Retail Trd</c:v>
                </c:pt>
                <c:pt idx="4">
                  <c:v>Real Estate</c:v>
                </c:pt>
                <c:pt idx="5">
                  <c:v>Hotels/Food Sv</c:v>
                </c:pt>
                <c:pt idx="6">
                  <c:v>Other Services</c:v>
                </c:pt>
                <c:pt idx="7">
                  <c:v>Government</c:v>
                </c:pt>
                <c:pt idx="8">
                  <c:v>Transportation</c:v>
                </c:pt>
                <c:pt idx="9">
                  <c:v>Farming</c:v>
                </c:pt>
              </c:strCache>
            </c:strRef>
          </c:cat>
          <c:val>
            <c:numRef>
              <c:f>Sheet1!$B$2:$B$11</c:f>
              <c:numCache>
                <c:formatCode>General</c:formatCode>
                <c:ptCount val="10"/>
                <c:pt idx="0">
                  <c:v>4.3</c:v>
                </c:pt>
                <c:pt idx="1">
                  <c:v>3.7</c:v>
                </c:pt>
                <c:pt idx="2">
                  <c:v>4</c:v>
                </c:pt>
                <c:pt idx="3">
                  <c:v>3.5</c:v>
                </c:pt>
                <c:pt idx="4">
                  <c:v>2.7</c:v>
                </c:pt>
                <c:pt idx="5">
                  <c:v>2.4</c:v>
                </c:pt>
                <c:pt idx="6">
                  <c:v>0.6</c:v>
                </c:pt>
                <c:pt idx="7">
                  <c:v>0.1</c:v>
                </c:pt>
                <c:pt idx="8">
                  <c:v>0</c:v>
                </c:pt>
                <c:pt idx="9">
                  <c:v>-0.1</c:v>
                </c:pt>
              </c:numCache>
            </c:numRef>
          </c:val>
          <c:extLst>
            <c:ext xmlns:c16="http://schemas.microsoft.com/office/drawing/2014/chart" uri="{C3380CC4-5D6E-409C-BE32-E72D297353CC}">
              <c16:uniqueId val="{00000000-10C2-4E12-93B5-F7995A50D5E0}"/>
            </c:ext>
          </c:extLst>
        </c:ser>
        <c:ser>
          <c:idx val="1"/>
          <c:order val="1"/>
          <c:tx>
            <c:strRef>
              <c:f>Sheet1!$C$1</c:f>
              <c:strCache>
                <c:ptCount val="1"/>
                <c:pt idx="0">
                  <c:v>NC</c:v>
                </c:pt>
              </c:strCache>
            </c:strRef>
          </c:tx>
          <c:spPr>
            <a:solidFill>
              <a:srgbClr val="FF0000"/>
            </a:solidFill>
            <a:ln>
              <a:noFill/>
            </a:ln>
            <a:effectLst/>
          </c:spPr>
          <c:invertIfNegative val="0"/>
          <c:cat>
            <c:strRef>
              <c:f>Sheet1!$A$2:$A$11</c:f>
              <c:strCache>
                <c:ptCount val="10"/>
                <c:pt idx="0">
                  <c:v>Wholesale Trd</c:v>
                </c:pt>
                <c:pt idx="1">
                  <c:v>Durable Mf</c:v>
                </c:pt>
                <c:pt idx="2">
                  <c:v>Health Care</c:v>
                </c:pt>
                <c:pt idx="3">
                  <c:v>Retail Trd</c:v>
                </c:pt>
                <c:pt idx="4">
                  <c:v>Real Estate</c:v>
                </c:pt>
                <c:pt idx="5">
                  <c:v>Hotels/Food Sv</c:v>
                </c:pt>
                <c:pt idx="6">
                  <c:v>Other Services</c:v>
                </c:pt>
                <c:pt idx="7">
                  <c:v>Government</c:v>
                </c:pt>
                <c:pt idx="8">
                  <c:v>Transportation</c:v>
                </c:pt>
                <c:pt idx="9">
                  <c:v>Farming</c:v>
                </c:pt>
              </c:strCache>
            </c:strRef>
          </c:cat>
          <c:val>
            <c:numRef>
              <c:f>Sheet1!$C$2:$C$11</c:f>
              <c:numCache>
                <c:formatCode>General</c:formatCode>
                <c:ptCount val="10"/>
                <c:pt idx="0">
                  <c:v>4.2</c:v>
                </c:pt>
                <c:pt idx="1">
                  <c:v>3.7</c:v>
                </c:pt>
                <c:pt idx="2">
                  <c:v>3.5</c:v>
                </c:pt>
                <c:pt idx="3">
                  <c:v>3</c:v>
                </c:pt>
                <c:pt idx="4">
                  <c:v>2.5</c:v>
                </c:pt>
                <c:pt idx="5">
                  <c:v>1.5</c:v>
                </c:pt>
                <c:pt idx="6">
                  <c:v>0.5</c:v>
                </c:pt>
                <c:pt idx="7">
                  <c:v>-0.5</c:v>
                </c:pt>
                <c:pt idx="8">
                  <c:v>-2.2999999999999998</c:v>
                </c:pt>
                <c:pt idx="9">
                  <c:v>-10.8</c:v>
                </c:pt>
              </c:numCache>
            </c:numRef>
          </c:val>
          <c:extLst>
            <c:ext xmlns:c16="http://schemas.microsoft.com/office/drawing/2014/chart" uri="{C3380CC4-5D6E-409C-BE32-E72D297353CC}">
              <c16:uniqueId val="{00000001-10C2-4E12-93B5-F7995A50D5E0}"/>
            </c:ext>
          </c:extLst>
        </c:ser>
        <c:dLbls>
          <c:showLegendKey val="0"/>
          <c:showVal val="0"/>
          <c:showCatName val="0"/>
          <c:showSerName val="0"/>
          <c:showPercent val="0"/>
          <c:showBubbleSize val="0"/>
        </c:dLbls>
        <c:gapWidth val="182"/>
        <c:axId val="613859592"/>
        <c:axId val="613862872"/>
      </c:barChart>
      <c:catAx>
        <c:axId val="613859592"/>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862872"/>
        <c:crosses val="autoZero"/>
        <c:auto val="1"/>
        <c:lblAlgn val="ctr"/>
        <c:lblOffset val="100"/>
        <c:noMultiLvlLbl val="0"/>
      </c:catAx>
      <c:valAx>
        <c:axId val="613862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859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c:v>
                </c:pt>
              </c:strCache>
            </c:strRef>
          </c:tx>
          <c:spPr>
            <a:solidFill>
              <a:srgbClr val="FF0000"/>
            </a:solidFill>
            <a:ln>
              <a:no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9.6999999999999993</c:v>
                </c:pt>
                <c:pt idx="1">
                  <c:v>10.6</c:v>
                </c:pt>
                <c:pt idx="2">
                  <c:v>10.7</c:v>
                </c:pt>
                <c:pt idx="3">
                  <c:v>5.2</c:v>
                </c:pt>
                <c:pt idx="4">
                  <c:v>-5</c:v>
                </c:pt>
              </c:numCache>
            </c:numRef>
          </c:val>
          <c:extLst>
            <c:ext xmlns:c16="http://schemas.microsoft.com/office/drawing/2014/chart" uri="{C3380CC4-5D6E-409C-BE32-E72D297353CC}">
              <c16:uniqueId val="{00000000-E954-8B41-9C2D-66705F770B1D}"/>
            </c:ext>
          </c:extLst>
        </c:ser>
        <c:ser>
          <c:idx val="1"/>
          <c:order val="1"/>
          <c:tx>
            <c:strRef>
              <c:f>Sheet1!$C$1</c:f>
              <c:strCache>
                <c:ptCount val="1"/>
                <c:pt idx="0">
                  <c:v>US</c:v>
                </c:pt>
              </c:strCache>
            </c:strRef>
          </c:tx>
          <c:spPr>
            <a:solidFill>
              <a:schemeClr val="tx1"/>
            </a:solidFill>
            <a:ln>
              <a:no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12.4</c:v>
                </c:pt>
                <c:pt idx="1">
                  <c:v>2</c:v>
                </c:pt>
                <c:pt idx="2">
                  <c:v>6.2</c:v>
                </c:pt>
                <c:pt idx="3">
                  <c:v>4.3</c:v>
                </c:pt>
                <c:pt idx="4">
                  <c:v>-3</c:v>
                </c:pt>
              </c:numCache>
            </c:numRef>
          </c:val>
          <c:extLst>
            <c:ext xmlns:c16="http://schemas.microsoft.com/office/drawing/2014/chart" uri="{C3380CC4-5D6E-409C-BE32-E72D297353CC}">
              <c16:uniqueId val="{00000001-E954-8B41-9C2D-66705F770B1D}"/>
            </c:ext>
          </c:extLst>
        </c:ser>
        <c:ser>
          <c:idx val="2"/>
          <c:order val="2"/>
          <c:tx>
            <c:strRef>
              <c:f>Sheet1!$D$1</c:f>
              <c:strCache>
                <c:ptCount val="1"/>
                <c:pt idx="0">
                  <c:v>SE</c:v>
                </c:pt>
              </c:strCache>
            </c:strRef>
          </c:tx>
          <c:spPr>
            <a:solidFill>
              <a:srgbClr val="FFC000"/>
            </a:solidFill>
            <a:ln>
              <a:no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16.100000000000001</c:v>
                </c:pt>
                <c:pt idx="1">
                  <c:v>7.4</c:v>
                </c:pt>
                <c:pt idx="2">
                  <c:v>6.2</c:v>
                </c:pt>
                <c:pt idx="3">
                  <c:v>8.6999999999999993</c:v>
                </c:pt>
                <c:pt idx="4">
                  <c:v>1</c:v>
                </c:pt>
              </c:numCache>
            </c:numRef>
          </c:val>
          <c:extLst>
            <c:ext xmlns:c16="http://schemas.microsoft.com/office/drawing/2014/chart" uri="{C3380CC4-5D6E-409C-BE32-E72D297353CC}">
              <c16:uniqueId val="{00000002-E954-8B41-9C2D-66705F770B1D}"/>
            </c:ext>
          </c:extLst>
        </c:ser>
        <c:dLbls>
          <c:showLegendKey val="0"/>
          <c:showVal val="0"/>
          <c:showCatName val="0"/>
          <c:showSerName val="0"/>
          <c:showPercent val="0"/>
          <c:showBubbleSize val="0"/>
        </c:dLbls>
        <c:gapWidth val="219"/>
        <c:overlap val="-27"/>
        <c:axId val="417590552"/>
        <c:axId val="417586632"/>
      </c:barChart>
      <c:catAx>
        <c:axId val="417590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6632"/>
        <c:crosses val="autoZero"/>
        <c:auto val="1"/>
        <c:lblAlgn val="ctr"/>
        <c:lblOffset val="100"/>
        <c:noMultiLvlLbl val="0"/>
      </c:catAx>
      <c:valAx>
        <c:axId val="417586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90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c:v>
                </c:pt>
              </c:strCache>
            </c:strRef>
          </c:tx>
          <c:spPr>
            <a:solidFill>
              <a:srgbClr val="FF0000"/>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1.2</c:v>
                </c:pt>
                <c:pt idx="1">
                  <c:v>1.3</c:v>
                </c:pt>
                <c:pt idx="2">
                  <c:v>1.8</c:v>
                </c:pt>
                <c:pt idx="3">
                  <c:v>1.9</c:v>
                </c:pt>
                <c:pt idx="4">
                  <c:v>2.2999999999999998</c:v>
                </c:pt>
                <c:pt idx="5">
                  <c:v>2.5</c:v>
                </c:pt>
                <c:pt idx="6">
                  <c:v>2.1</c:v>
                </c:pt>
                <c:pt idx="7">
                  <c:v>1.6</c:v>
                </c:pt>
                <c:pt idx="8">
                  <c:v>1.3</c:v>
                </c:pt>
                <c:pt idx="9">
                  <c:v>1.4</c:v>
                </c:pt>
              </c:numCache>
            </c:numRef>
          </c:val>
          <c:extLst>
            <c:ext xmlns:c16="http://schemas.microsoft.com/office/drawing/2014/chart" uri="{C3380CC4-5D6E-409C-BE32-E72D297353CC}">
              <c16:uniqueId val="{00000000-4773-3940-898A-38D19514525C}"/>
            </c:ext>
          </c:extLst>
        </c:ser>
        <c:ser>
          <c:idx val="1"/>
          <c:order val="1"/>
          <c:tx>
            <c:strRef>
              <c:f>Sheet1!$C$1</c:f>
              <c:strCache>
                <c:ptCount val="1"/>
                <c:pt idx="0">
                  <c:v>US</c:v>
                </c:pt>
              </c:strCache>
            </c:strRef>
          </c:tx>
          <c:spPr>
            <a:solidFill>
              <a:schemeClr val="tx2">
                <a:lumMod val="75000"/>
              </a:schemeClr>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0.8</c:v>
                </c:pt>
                <c:pt idx="1">
                  <c:v>1.6</c:v>
                </c:pt>
                <c:pt idx="2">
                  <c:v>1.6</c:v>
                </c:pt>
                <c:pt idx="3">
                  <c:v>1.7</c:v>
                </c:pt>
                <c:pt idx="4">
                  <c:v>2.2000000000000002</c:v>
                </c:pt>
                <c:pt idx="5">
                  <c:v>1.9</c:v>
                </c:pt>
                <c:pt idx="6">
                  <c:v>1.6</c:v>
                </c:pt>
                <c:pt idx="7">
                  <c:v>1.5</c:v>
                </c:pt>
                <c:pt idx="8">
                  <c:v>1.8</c:v>
                </c:pt>
                <c:pt idx="9">
                  <c:v>1.5</c:v>
                </c:pt>
              </c:numCache>
            </c:numRef>
          </c:val>
          <c:extLst>
            <c:ext xmlns:c16="http://schemas.microsoft.com/office/drawing/2014/chart" uri="{C3380CC4-5D6E-409C-BE32-E72D297353CC}">
              <c16:uniqueId val="{00000001-4773-3940-898A-38D19514525C}"/>
            </c:ext>
          </c:extLst>
        </c:ser>
        <c:dLbls>
          <c:showLegendKey val="0"/>
          <c:showVal val="0"/>
          <c:showCatName val="0"/>
          <c:showSerName val="0"/>
          <c:showPercent val="0"/>
          <c:showBubbleSize val="0"/>
        </c:dLbls>
        <c:gapWidth val="219"/>
        <c:overlap val="-27"/>
        <c:axId val="417588592"/>
        <c:axId val="417587024"/>
      </c:barChart>
      <c:catAx>
        <c:axId val="41758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7024"/>
        <c:crosses val="autoZero"/>
        <c:auto val="1"/>
        <c:lblAlgn val="ctr"/>
        <c:lblOffset val="100"/>
        <c:noMultiLvlLbl val="0"/>
      </c:catAx>
      <c:valAx>
        <c:axId val="417587024"/>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NC 2018</c:v>
                </c:pt>
              </c:strCache>
            </c:strRef>
          </c:tx>
          <c:spPr>
            <a:solidFill>
              <a:schemeClr val="accent2">
                <a:tint val="58000"/>
              </a:schemeClr>
            </a:solidFill>
            <a:ln>
              <a:noFill/>
            </a:ln>
            <a:effectLst/>
          </c:spPr>
          <c:invertIfNegative val="0"/>
          <c:cat>
            <c:strRef>
              <c:f>Sheet1!$A$2:$A$4</c:f>
              <c:strCache>
                <c:ptCount val="3"/>
                <c:pt idx="0">
                  <c:v>Headline</c:v>
                </c:pt>
                <c:pt idx="1">
                  <c:v>U5</c:v>
                </c:pt>
                <c:pt idx="2">
                  <c:v>U6</c:v>
                </c:pt>
              </c:strCache>
            </c:strRef>
          </c:cat>
          <c:val>
            <c:numRef>
              <c:f>Sheet1!$B$2:$B$4</c:f>
              <c:numCache>
                <c:formatCode>General</c:formatCode>
                <c:ptCount val="3"/>
                <c:pt idx="0">
                  <c:v>3.8</c:v>
                </c:pt>
                <c:pt idx="1">
                  <c:v>4.9000000000000004</c:v>
                </c:pt>
                <c:pt idx="2">
                  <c:v>7.5</c:v>
                </c:pt>
              </c:numCache>
            </c:numRef>
          </c:val>
          <c:extLst>
            <c:ext xmlns:c16="http://schemas.microsoft.com/office/drawing/2014/chart" uri="{C3380CC4-5D6E-409C-BE32-E72D297353CC}">
              <c16:uniqueId val="{00000000-C235-44E2-98F4-34916EA8FDA7}"/>
            </c:ext>
          </c:extLst>
        </c:ser>
        <c:ser>
          <c:idx val="1"/>
          <c:order val="1"/>
          <c:tx>
            <c:strRef>
              <c:f>Sheet1!$C$1</c:f>
              <c:strCache>
                <c:ptCount val="1"/>
                <c:pt idx="0">
                  <c:v>NC 2019</c:v>
                </c:pt>
              </c:strCache>
            </c:strRef>
          </c:tx>
          <c:spPr>
            <a:solidFill>
              <a:schemeClr val="accent2">
                <a:tint val="86000"/>
              </a:schemeClr>
            </a:solidFill>
            <a:ln>
              <a:noFill/>
            </a:ln>
            <a:effectLst/>
          </c:spPr>
          <c:invertIfNegative val="0"/>
          <c:cat>
            <c:strRef>
              <c:f>Sheet1!$A$2:$A$4</c:f>
              <c:strCache>
                <c:ptCount val="3"/>
                <c:pt idx="0">
                  <c:v>Headline</c:v>
                </c:pt>
                <c:pt idx="1">
                  <c:v>U5</c:v>
                </c:pt>
                <c:pt idx="2">
                  <c:v>U6</c:v>
                </c:pt>
              </c:strCache>
            </c:strRef>
          </c:cat>
          <c:val>
            <c:numRef>
              <c:f>Sheet1!$C$2:$C$4</c:f>
              <c:numCache>
                <c:formatCode>General</c:formatCode>
                <c:ptCount val="3"/>
                <c:pt idx="0">
                  <c:v>4</c:v>
                </c:pt>
                <c:pt idx="1">
                  <c:v>5</c:v>
                </c:pt>
                <c:pt idx="2">
                  <c:v>7.6</c:v>
                </c:pt>
              </c:numCache>
            </c:numRef>
          </c:val>
          <c:extLst>
            <c:ext xmlns:c16="http://schemas.microsoft.com/office/drawing/2014/chart" uri="{C3380CC4-5D6E-409C-BE32-E72D297353CC}">
              <c16:uniqueId val="{00000001-C235-44E2-98F4-34916EA8FDA7}"/>
            </c:ext>
          </c:extLst>
        </c:ser>
        <c:ser>
          <c:idx val="2"/>
          <c:order val="2"/>
          <c:tx>
            <c:strRef>
              <c:f>Sheet1!$D$1</c:f>
              <c:strCache>
                <c:ptCount val="1"/>
                <c:pt idx="0">
                  <c:v>US 2018</c:v>
                </c:pt>
              </c:strCache>
            </c:strRef>
          </c:tx>
          <c:spPr>
            <a:solidFill>
              <a:schemeClr val="accent2">
                <a:shade val="86000"/>
              </a:schemeClr>
            </a:solidFill>
            <a:ln>
              <a:noFill/>
            </a:ln>
            <a:effectLst/>
          </c:spPr>
          <c:invertIfNegative val="0"/>
          <c:cat>
            <c:strRef>
              <c:f>Sheet1!$A$2:$A$4</c:f>
              <c:strCache>
                <c:ptCount val="3"/>
                <c:pt idx="0">
                  <c:v>Headline</c:v>
                </c:pt>
                <c:pt idx="1">
                  <c:v>U5</c:v>
                </c:pt>
                <c:pt idx="2">
                  <c:v>U6</c:v>
                </c:pt>
              </c:strCache>
            </c:strRef>
          </c:cat>
          <c:val>
            <c:numRef>
              <c:f>Sheet1!$D$2:$D$4</c:f>
              <c:numCache>
                <c:formatCode>General</c:formatCode>
                <c:ptCount val="3"/>
                <c:pt idx="0">
                  <c:v>3.9</c:v>
                </c:pt>
                <c:pt idx="1">
                  <c:v>4.8</c:v>
                </c:pt>
                <c:pt idx="2">
                  <c:v>7.7</c:v>
                </c:pt>
              </c:numCache>
            </c:numRef>
          </c:val>
          <c:extLst>
            <c:ext xmlns:c16="http://schemas.microsoft.com/office/drawing/2014/chart" uri="{C3380CC4-5D6E-409C-BE32-E72D297353CC}">
              <c16:uniqueId val="{00000003-C235-44E2-98F4-34916EA8FDA7}"/>
            </c:ext>
          </c:extLst>
        </c:ser>
        <c:ser>
          <c:idx val="3"/>
          <c:order val="3"/>
          <c:tx>
            <c:strRef>
              <c:f>Sheet1!$E$1</c:f>
              <c:strCache>
                <c:ptCount val="1"/>
                <c:pt idx="0">
                  <c:v>US 2019</c:v>
                </c:pt>
              </c:strCache>
            </c:strRef>
          </c:tx>
          <c:spPr>
            <a:solidFill>
              <a:schemeClr val="accent2">
                <a:shade val="58000"/>
              </a:schemeClr>
            </a:solidFill>
            <a:ln>
              <a:noFill/>
            </a:ln>
            <a:effectLst/>
          </c:spPr>
          <c:invertIfNegative val="0"/>
          <c:cat>
            <c:strRef>
              <c:f>Sheet1!$A$2:$A$4</c:f>
              <c:strCache>
                <c:ptCount val="3"/>
                <c:pt idx="0">
                  <c:v>Headline</c:v>
                </c:pt>
                <c:pt idx="1">
                  <c:v>U5</c:v>
                </c:pt>
                <c:pt idx="2">
                  <c:v>U6</c:v>
                </c:pt>
              </c:strCache>
            </c:strRef>
          </c:cat>
          <c:val>
            <c:numRef>
              <c:f>Sheet1!$E$2:$E$4</c:f>
              <c:numCache>
                <c:formatCode>General</c:formatCode>
                <c:ptCount val="3"/>
                <c:pt idx="0">
                  <c:v>3.8</c:v>
                </c:pt>
                <c:pt idx="1">
                  <c:v>4.7</c:v>
                </c:pt>
                <c:pt idx="2">
                  <c:v>7.4</c:v>
                </c:pt>
              </c:numCache>
            </c:numRef>
          </c:val>
          <c:extLst>
            <c:ext xmlns:c16="http://schemas.microsoft.com/office/drawing/2014/chart" uri="{C3380CC4-5D6E-409C-BE32-E72D297353CC}">
              <c16:uniqueId val="{00000004-C235-44E2-98F4-34916EA8FDA7}"/>
            </c:ext>
          </c:extLst>
        </c:ser>
        <c:dLbls>
          <c:showLegendKey val="0"/>
          <c:showVal val="0"/>
          <c:showCatName val="0"/>
          <c:showSerName val="0"/>
          <c:showPercent val="0"/>
          <c:showBubbleSize val="0"/>
        </c:dLbls>
        <c:gapWidth val="219"/>
        <c:overlap val="-27"/>
        <c:axId val="412190920"/>
        <c:axId val="412191248"/>
      </c:barChart>
      <c:catAx>
        <c:axId val="41219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191248"/>
        <c:crosses val="autoZero"/>
        <c:auto val="1"/>
        <c:lblAlgn val="ctr"/>
        <c:lblOffset val="100"/>
        <c:noMultiLvlLbl val="0"/>
      </c:catAx>
      <c:valAx>
        <c:axId val="41219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190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NC</c:v>
                </c:pt>
              </c:strCache>
            </c:strRef>
          </c:tx>
          <c:spPr>
            <a:ln w="38100" cap="rnd">
              <a:solidFill>
                <a:srgbClr val="FF0000"/>
              </a:solidFill>
              <a:round/>
            </a:ln>
            <a:effectLst/>
          </c:spPr>
          <c:marker>
            <c:symbol val="none"/>
          </c:marker>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23.33</c:v>
                </c:pt>
                <c:pt idx="1">
                  <c:v>23.63</c:v>
                </c:pt>
                <c:pt idx="2">
                  <c:v>24.79</c:v>
                </c:pt>
                <c:pt idx="3">
                  <c:v>24.86</c:v>
                </c:pt>
                <c:pt idx="4">
                  <c:v>24.96</c:v>
                </c:pt>
                <c:pt idx="5">
                  <c:v>25.26</c:v>
                </c:pt>
              </c:numCache>
            </c:numRef>
          </c:val>
          <c:smooth val="0"/>
          <c:extLst>
            <c:ext xmlns:c16="http://schemas.microsoft.com/office/drawing/2014/chart" uri="{C3380CC4-5D6E-409C-BE32-E72D297353CC}">
              <c16:uniqueId val="{00000000-F453-F44B-BC13-4B7BDCA11717}"/>
            </c:ext>
          </c:extLst>
        </c:ser>
        <c:ser>
          <c:idx val="1"/>
          <c:order val="1"/>
          <c:tx>
            <c:strRef>
              <c:f>Sheet1!$C$1</c:f>
              <c:strCache>
                <c:ptCount val="1"/>
                <c:pt idx="0">
                  <c:v>US</c:v>
                </c:pt>
              </c:strCache>
            </c:strRef>
          </c:tx>
          <c:spPr>
            <a:ln w="28575" cap="rnd">
              <a:solidFill>
                <a:schemeClr val="tx1"/>
              </a:solidFill>
              <a:round/>
            </a:ln>
            <a:effectLst/>
          </c:spPr>
          <c:marker>
            <c:symbol val="none"/>
          </c:marker>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26.24</c:v>
                </c:pt>
                <c:pt idx="1">
                  <c:v>26.58</c:v>
                </c:pt>
                <c:pt idx="2">
                  <c:v>27.04</c:v>
                </c:pt>
                <c:pt idx="3">
                  <c:v>27.22</c:v>
                </c:pt>
                <c:pt idx="4">
                  <c:v>27.22</c:v>
                </c:pt>
                <c:pt idx="5">
                  <c:v>27.86</c:v>
                </c:pt>
              </c:numCache>
            </c:numRef>
          </c:val>
          <c:smooth val="0"/>
          <c:extLst>
            <c:ext xmlns:c16="http://schemas.microsoft.com/office/drawing/2014/chart" uri="{C3380CC4-5D6E-409C-BE32-E72D297353CC}">
              <c16:uniqueId val="{00000001-F453-F44B-BC13-4B7BDCA11717}"/>
            </c:ext>
          </c:extLst>
        </c:ser>
        <c:dLbls>
          <c:showLegendKey val="0"/>
          <c:showVal val="0"/>
          <c:showCatName val="0"/>
          <c:showSerName val="0"/>
          <c:showPercent val="0"/>
          <c:showBubbleSize val="0"/>
        </c:dLbls>
        <c:smooth val="0"/>
        <c:axId val="417587808"/>
        <c:axId val="417583104"/>
      </c:lineChart>
      <c:catAx>
        <c:axId val="417587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3104"/>
        <c:crosses val="autoZero"/>
        <c:auto val="1"/>
        <c:lblAlgn val="ctr"/>
        <c:lblOffset val="100"/>
        <c:noMultiLvlLbl val="0"/>
      </c:catAx>
      <c:valAx>
        <c:axId val="417583104"/>
        <c:scaling>
          <c:orientation val="minMax"/>
          <c:max val="29"/>
          <c:min val="22"/>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2009-16</c:v>
                </c:pt>
              </c:strCache>
            </c:strRef>
          </c:tx>
          <c:spPr>
            <a:solidFill>
              <a:srgbClr val="FF0000"/>
            </a:solidFill>
            <a:ln>
              <a:noFill/>
            </a:ln>
            <a:effectLst/>
          </c:spPr>
          <c:invertIfNegative val="0"/>
          <c:cat>
            <c:strRef>
              <c:f>Sheet1!$A$2:$A$4</c:f>
              <c:strCache>
                <c:ptCount val="3"/>
                <c:pt idx="0">
                  <c:v>High Paying</c:v>
                </c:pt>
                <c:pt idx="1">
                  <c:v>Middle Paying</c:v>
                </c:pt>
                <c:pt idx="2">
                  <c:v>Low Paying</c:v>
                </c:pt>
              </c:strCache>
            </c:strRef>
          </c:cat>
          <c:val>
            <c:numRef>
              <c:f>Sheet1!$B$2:$B$4</c:f>
              <c:numCache>
                <c:formatCode>General</c:formatCode>
                <c:ptCount val="3"/>
                <c:pt idx="0">
                  <c:v>3.3</c:v>
                </c:pt>
                <c:pt idx="1">
                  <c:v>0.4</c:v>
                </c:pt>
                <c:pt idx="2">
                  <c:v>2.1</c:v>
                </c:pt>
              </c:numCache>
            </c:numRef>
          </c:val>
          <c:extLst>
            <c:ext xmlns:c16="http://schemas.microsoft.com/office/drawing/2014/chart" uri="{C3380CC4-5D6E-409C-BE32-E72D297353CC}">
              <c16:uniqueId val="{00000000-9F5B-6A46-BDD5-44C5094B0973}"/>
            </c:ext>
          </c:extLst>
        </c:ser>
        <c:ser>
          <c:idx val="1"/>
          <c:order val="1"/>
          <c:tx>
            <c:strRef>
              <c:f>Sheet1!$C$1</c:f>
              <c:strCache>
                <c:ptCount val="1"/>
                <c:pt idx="0">
                  <c:v>2017</c:v>
                </c:pt>
              </c:strCache>
            </c:strRef>
          </c:tx>
          <c:spPr>
            <a:solidFill>
              <a:schemeClr val="bg1">
                <a:lumMod val="65000"/>
              </a:schemeClr>
            </a:solidFill>
            <a:ln>
              <a:noFill/>
            </a:ln>
            <a:effectLst/>
          </c:spPr>
          <c:invertIfNegative val="0"/>
          <c:cat>
            <c:strRef>
              <c:f>Sheet1!$A$2:$A$4</c:f>
              <c:strCache>
                <c:ptCount val="3"/>
                <c:pt idx="0">
                  <c:v>High Paying</c:v>
                </c:pt>
                <c:pt idx="1">
                  <c:v>Middle Paying</c:v>
                </c:pt>
                <c:pt idx="2">
                  <c:v>Low Paying</c:v>
                </c:pt>
              </c:strCache>
            </c:strRef>
          </c:cat>
          <c:val>
            <c:numRef>
              <c:f>Sheet1!$C$2:$C$4</c:f>
              <c:numCache>
                <c:formatCode>General</c:formatCode>
                <c:ptCount val="3"/>
                <c:pt idx="0">
                  <c:v>2.5</c:v>
                </c:pt>
                <c:pt idx="1">
                  <c:v>1.3</c:v>
                </c:pt>
                <c:pt idx="2">
                  <c:v>1.7</c:v>
                </c:pt>
              </c:numCache>
            </c:numRef>
          </c:val>
          <c:extLst>
            <c:ext xmlns:c16="http://schemas.microsoft.com/office/drawing/2014/chart" uri="{C3380CC4-5D6E-409C-BE32-E72D297353CC}">
              <c16:uniqueId val="{00000001-9F5B-6A46-BDD5-44C5094B0973}"/>
            </c:ext>
          </c:extLst>
        </c:ser>
        <c:ser>
          <c:idx val="2"/>
          <c:order val="2"/>
          <c:tx>
            <c:strRef>
              <c:f>Sheet1!$D$1</c:f>
              <c:strCache>
                <c:ptCount val="1"/>
                <c:pt idx="0">
                  <c:v>2018</c:v>
                </c:pt>
              </c:strCache>
            </c:strRef>
          </c:tx>
          <c:spPr>
            <a:solidFill>
              <a:schemeClr val="tx1"/>
            </a:solidFill>
            <a:ln>
              <a:solidFill>
                <a:schemeClr val="tx1"/>
              </a:solidFill>
            </a:ln>
            <a:effectLst/>
          </c:spPr>
          <c:invertIfNegative val="0"/>
          <c:cat>
            <c:strRef>
              <c:f>Sheet1!$A$2:$A$4</c:f>
              <c:strCache>
                <c:ptCount val="3"/>
                <c:pt idx="0">
                  <c:v>High Paying</c:v>
                </c:pt>
                <c:pt idx="1">
                  <c:v>Middle Paying</c:v>
                </c:pt>
                <c:pt idx="2">
                  <c:v>Low Paying</c:v>
                </c:pt>
              </c:strCache>
            </c:strRef>
          </c:cat>
          <c:val>
            <c:numRef>
              <c:f>Sheet1!$D$2:$D$4</c:f>
              <c:numCache>
                <c:formatCode>General</c:formatCode>
                <c:ptCount val="3"/>
                <c:pt idx="0">
                  <c:v>3.2</c:v>
                </c:pt>
                <c:pt idx="1">
                  <c:v>1.7</c:v>
                </c:pt>
                <c:pt idx="2">
                  <c:v>1.8</c:v>
                </c:pt>
              </c:numCache>
            </c:numRef>
          </c:val>
          <c:extLst>
            <c:ext xmlns:c16="http://schemas.microsoft.com/office/drawing/2014/chart" uri="{C3380CC4-5D6E-409C-BE32-E72D297353CC}">
              <c16:uniqueId val="{00000002-9F5B-6A46-BDD5-44C5094B0973}"/>
            </c:ext>
          </c:extLst>
        </c:ser>
        <c:ser>
          <c:idx val="3"/>
          <c:order val="3"/>
          <c:tx>
            <c:strRef>
              <c:f>Sheet1!$E$1</c:f>
              <c:strCache>
                <c:ptCount val="1"/>
                <c:pt idx="0">
                  <c:v>2019</c:v>
                </c:pt>
              </c:strCache>
            </c:strRef>
          </c:tx>
          <c:spPr>
            <a:solidFill>
              <a:schemeClr val="accent4"/>
            </a:solidFill>
            <a:ln>
              <a:noFill/>
            </a:ln>
            <a:effectLst/>
          </c:spPr>
          <c:invertIfNegative val="0"/>
          <c:cat>
            <c:strRef>
              <c:f>Sheet1!$A$2:$A$4</c:f>
              <c:strCache>
                <c:ptCount val="3"/>
                <c:pt idx="0">
                  <c:v>High Paying</c:v>
                </c:pt>
                <c:pt idx="1">
                  <c:v>Middle Paying</c:v>
                </c:pt>
                <c:pt idx="2">
                  <c:v>Low Paying</c:v>
                </c:pt>
              </c:strCache>
            </c:strRef>
          </c:cat>
          <c:val>
            <c:numRef>
              <c:f>Sheet1!$E$2:$E$4</c:f>
              <c:numCache>
                <c:formatCode>General</c:formatCode>
                <c:ptCount val="3"/>
                <c:pt idx="0">
                  <c:v>2.2999999999999998</c:v>
                </c:pt>
                <c:pt idx="1">
                  <c:v>2.2000000000000002</c:v>
                </c:pt>
                <c:pt idx="2">
                  <c:v>2.5</c:v>
                </c:pt>
              </c:numCache>
            </c:numRef>
          </c:val>
          <c:extLst>
            <c:ext xmlns:c16="http://schemas.microsoft.com/office/drawing/2014/chart" uri="{C3380CC4-5D6E-409C-BE32-E72D297353CC}">
              <c16:uniqueId val="{00000000-5461-4B96-8FD7-F563DA294390}"/>
            </c:ext>
          </c:extLst>
        </c:ser>
        <c:dLbls>
          <c:showLegendKey val="0"/>
          <c:showVal val="0"/>
          <c:showCatName val="0"/>
          <c:showSerName val="0"/>
          <c:showPercent val="0"/>
          <c:showBubbleSize val="0"/>
        </c:dLbls>
        <c:gapWidth val="219"/>
        <c:overlap val="-27"/>
        <c:axId val="414376384"/>
        <c:axId val="414378344"/>
      </c:barChart>
      <c:catAx>
        <c:axId val="414376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4378344"/>
        <c:crosses val="autoZero"/>
        <c:auto val="1"/>
        <c:lblAlgn val="ctr"/>
        <c:lblOffset val="100"/>
        <c:noMultiLvlLbl val="0"/>
      </c:catAx>
      <c:valAx>
        <c:axId val="414378344"/>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7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Sheet1!$A$2:$A$19</c:f>
              <c:strCache>
                <c:ptCount val="18"/>
                <c:pt idx="0">
                  <c:v>Non-Metro</c:v>
                </c:pt>
                <c:pt idx="1">
                  <c:v>Rocky Mount</c:v>
                </c:pt>
                <c:pt idx="2">
                  <c:v>Fayetteville</c:v>
                </c:pt>
                <c:pt idx="3">
                  <c:v>Durham-CH</c:v>
                </c:pt>
                <c:pt idx="4">
                  <c:v>Jacksonville</c:v>
                </c:pt>
                <c:pt idx="5">
                  <c:v>New Bern</c:v>
                </c:pt>
                <c:pt idx="6">
                  <c:v>Goldsboro</c:v>
                </c:pt>
                <c:pt idx="7">
                  <c:v>Winston Salem</c:v>
                </c:pt>
                <c:pt idx="8">
                  <c:v>Greensboro</c:v>
                </c:pt>
                <c:pt idx="9">
                  <c:v>Greenville</c:v>
                </c:pt>
                <c:pt idx="10">
                  <c:v>Burlington</c:v>
                </c:pt>
                <c:pt idx="11">
                  <c:v>Hickory</c:v>
                </c:pt>
                <c:pt idx="12">
                  <c:v>NC</c:v>
                </c:pt>
                <c:pt idx="13">
                  <c:v>US</c:v>
                </c:pt>
                <c:pt idx="14">
                  <c:v>Wilmington</c:v>
                </c:pt>
                <c:pt idx="15">
                  <c:v>Asheville</c:v>
                </c:pt>
                <c:pt idx="16">
                  <c:v>Charlotte</c:v>
                </c:pt>
                <c:pt idx="17">
                  <c:v>Raleigh</c:v>
                </c:pt>
              </c:strCache>
            </c:strRef>
          </c:cat>
          <c:val>
            <c:numRef>
              <c:f>Sheet1!$B$2:$B$19</c:f>
              <c:numCache>
                <c:formatCode>General</c:formatCode>
                <c:ptCount val="18"/>
                <c:pt idx="0">
                  <c:v>-2.8</c:v>
                </c:pt>
                <c:pt idx="1">
                  <c:v>-2.6</c:v>
                </c:pt>
                <c:pt idx="2">
                  <c:v>-1.5</c:v>
                </c:pt>
                <c:pt idx="3">
                  <c:v>-1</c:v>
                </c:pt>
                <c:pt idx="4">
                  <c:v>-0.7</c:v>
                </c:pt>
                <c:pt idx="5">
                  <c:v>-0.6</c:v>
                </c:pt>
                <c:pt idx="6">
                  <c:v>-0.3</c:v>
                </c:pt>
                <c:pt idx="7">
                  <c:v>0.3</c:v>
                </c:pt>
                <c:pt idx="8">
                  <c:v>0.7</c:v>
                </c:pt>
                <c:pt idx="9">
                  <c:v>1</c:v>
                </c:pt>
                <c:pt idx="10">
                  <c:v>1.1000000000000001</c:v>
                </c:pt>
                <c:pt idx="11">
                  <c:v>1.3</c:v>
                </c:pt>
                <c:pt idx="12">
                  <c:v>1.5</c:v>
                </c:pt>
                <c:pt idx="13">
                  <c:v>2.1</c:v>
                </c:pt>
                <c:pt idx="14">
                  <c:v>2.1</c:v>
                </c:pt>
                <c:pt idx="15">
                  <c:v>2.9</c:v>
                </c:pt>
                <c:pt idx="16">
                  <c:v>3.4</c:v>
                </c:pt>
                <c:pt idx="17">
                  <c:v>3.5</c:v>
                </c:pt>
              </c:numCache>
            </c:numRef>
          </c:val>
          <c:extLst>
            <c:ext xmlns:c16="http://schemas.microsoft.com/office/drawing/2014/chart" uri="{C3380CC4-5D6E-409C-BE32-E72D297353CC}">
              <c16:uniqueId val="{00000000-2733-43F3-904F-992E039E6C98}"/>
            </c:ext>
          </c:extLst>
        </c:ser>
        <c:dLbls>
          <c:showLegendKey val="0"/>
          <c:showVal val="0"/>
          <c:showCatName val="0"/>
          <c:showSerName val="0"/>
          <c:showPercent val="0"/>
          <c:showBubbleSize val="0"/>
        </c:dLbls>
        <c:gapWidth val="182"/>
        <c:axId val="378157848"/>
        <c:axId val="378161456"/>
      </c:barChart>
      <c:catAx>
        <c:axId val="37815784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61456"/>
        <c:crosses val="autoZero"/>
        <c:auto val="1"/>
        <c:lblAlgn val="ctr"/>
        <c:lblOffset val="100"/>
        <c:noMultiLvlLbl val="0"/>
      </c:catAx>
      <c:valAx>
        <c:axId val="378161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5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F26A-6E25-433F-8DBF-DAFDB613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dc:creator>
  <cp:keywords/>
  <dc:description/>
  <cp:lastModifiedBy>Margaret M Huffman</cp:lastModifiedBy>
  <cp:revision>2</cp:revision>
  <cp:lastPrinted>2019-08-08T19:00:00Z</cp:lastPrinted>
  <dcterms:created xsi:type="dcterms:W3CDTF">2019-08-09T16:11:00Z</dcterms:created>
  <dcterms:modified xsi:type="dcterms:W3CDTF">2019-08-09T16:11:00Z</dcterms:modified>
</cp:coreProperties>
</file>